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charts/chart8.xml" ContentType="application/vnd.openxmlformats-officedocument.drawingml.chart+xml"/>
  <Override PartName="/word/charts/chart9.xml" ContentType="application/vnd.openxmlformats-officedocument.drawingml.chart+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FE2" w:rsidRDefault="00765105" w:rsidP="00A50FE2">
      <w:pPr>
        <w:pStyle w:val="Corpodetexto2"/>
        <w:spacing w:line="360" w:lineRule="auto"/>
        <w:jc w:val="center"/>
        <w:rPr>
          <w:sz w:val="32"/>
          <w:lang w:val="pt-PT"/>
        </w:rPr>
      </w:pPr>
      <w:r>
        <w:rPr>
          <w:noProof/>
          <w:sz w:val="32"/>
          <w:lang w:val="pt-BR" w:eastAsia="pt-BR"/>
        </w:rPr>
        <w:drawing>
          <wp:inline distT="0" distB="0" distL="0" distR="0">
            <wp:extent cx="3429000" cy="771525"/>
            <wp:effectExtent l="19050" t="0" r="0" b="0"/>
            <wp:docPr id="1" name="Imagem 2" descr="LogoISCTE-I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LogoISCTE-IUL"/>
                    <pic:cNvPicPr>
                      <a:picLocks noChangeAspect="1" noChangeArrowheads="1"/>
                    </pic:cNvPicPr>
                  </pic:nvPicPr>
                  <pic:blipFill>
                    <a:blip r:embed="rId8"/>
                    <a:srcRect/>
                    <a:stretch>
                      <a:fillRect/>
                    </a:stretch>
                  </pic:blipFill>
                  <pic:spPr bwMode="auto">
                    <a:xfrm>
                      <a:off x="0" y="0"/>
                      <a:ext cx="3429000" cy="771525"/>
                    </a:xfrm>
                    <a:prstGeom prst="rect">
                      <a:avLst/>
                    </a:prstGeom>
                    <a:noFill/>
                    <a:ln w="9525">
                      <a:noFill/>
                      <a:miter lim="800000"/>
                      <a:headEnd/>
                      <a:tailEnd/>
                    </a:ln>
                  </pic:spPr>
                </pic:pic>
              </a:graphicData>
            </a:graphic>
          </wp:inline>
        </w:drawing>
      </w:r>
    </w:p>
    <w:p w:rsidR="00A50FE2" w:rsidRDefault="00A50FE2" w:rsidP="00A50FE2">
      <w:pPr>
        <w:jc w:val="center"/>
        <w:rPr>
          <w:sz w:val="22"/>
          <w:szCs w:val="22"/>
          <w:lang w:val="pt-PT"/>
        </w:rPr>
      </w:pPr>
    </w:p>
    <w:p w:rsidR="00A50FE2" w:rsidRDefault="00A50FE2" w:rsidP="00A50FE2">
      <w:pPr>
        <w:jc w:val="center"/>
        <w:rPr>
          <w:sz w:val="22"/>
          <w:szCs w:val="22"/>
          <w:lang w:val="pt-PT"/>
        </w:rPr>
      </w:pPr>
    </w:p>
    <w:p w:rsidR="00A50FE2" w:rsidRDefault="00A50FE2" w:rsidP="00A50FE2">
      <w:pPr>
        <w:jc w:val="center"/>
        <w:rPr>
          <w:sz w:val="22"/>
          <w:szCs w:val="22"/>
          <w:lang w:val="pt-PT"/>
        </w:rPr>
      </w:pPr>
      <w:r>
        <w:rPr>
          <w:sz w:val="22"/>
          <w:szCs w:val="22"/>
          <w:lang w:val="pt-PT"/>
        </w:rPr>
        <w:t>Departamento de Ciência Política e Políticas Públicas</w:t>
      </w:r>
    </w:p>
    <w:p w:rsidR="00A50FE2" w:rsidRDefault="00A50FE2" w:rsidP="00A50FE2">
      <w:pPr>
        <w:pStyle w:val="Corpodetexto2"/>
        <w:spacing w:line="240" w:lineRule="auto"/>
        <w:jc w:val="center"/>
        <w:rPr>
          <w:sz w:val="32"/>
          <w:lang w:val="pt-PT"/>
        </w:rPr>
      </w:pPr>
    </w:p>
    <w:p w:rsidR="00A50FE2" w:rsidRDefault="00A50FE2" w:rsidP="00354A78">
      <w:pPr>
        <w:pStyle w:val="Corpodetexto2"/>
        <w:spacing w:line="240" w:lineRule="auto"/>
        <w:jc w:val="right"/>
        <w:rPr>
          <w:sz w:val="32"/>
          <w:lang w:val="pt-PT"/>
        </w:rPr>
      </w:pPr>
    </w:p>
    <w:p w:rsidR="00A50FE2" w:rsidRPr="005C43AC" w:rsidRDefault="00A50FE2" w:rsidP="00A50FE2">
      <w:pPr>
        <w:pStyle w:val="Corpodetexto2"/>
        <w:spacing w:line="240" w:lineRule="auto"/>
        <w:jc w:val="center"/>
        <w:rPr>
          <w:sz w:val="32"/>
          <w:lang w:val="pt-PT"/>
        </w:rPr>
      </w:pPr>
      <w:r>
        <w:rPr>
          <w:sz w:val="32"/>
          <w:lang w:val="pt-PT"/>
        </w:rPr>
        <w:t xml:space="preserve">Exploração sexual de jovens e adolescentes: </w:t>
      </w:r>
      <w:r w:rsidR="0000629A">
        <w:rPr>
          <w:sz w:val="32"/>
          <w:lang w:val="pt-PT"/>
        </w:rPr>
        <w:t>estudo de projetos elaborados e</w:t>
      </w:r>
      <w:r>
        <w:rPr>
          <w:sz w:val="32"/>
          <w:lang w:val="pt-PT"/>
        </w:rPr>
        <w:t xml:space="preserve">m parceria entre o </w:t>
      </w:r>
      <w:r w:rsidR="0000629A">
        <w:rPr>
          <w:sz w:val="32"/>
          <w:lang w:val="pt-PT"/>
        </w:rPr>
        <w:t>setor público e o setor privado</w:t>
      </w:r>
    </w:p>
    <w:p w:rsidR="00A50FE2" w:rsidRDefault="00A50FE2" w:rsidP="00A50FE2">
      <w:pPr>
        <w:rPr>
          <w:lang w:val="pt-PT"/>
        </w:rPr>
      </w:pPr>
    </w:p>
    <w:p w:rsidR="00A50FE2" w:rsidRDefault="00A50FE2" w:rsidP="00A50FE2">
      <w:pPr>
        <w:spacing w:line="160" w:lineRule="exact"/>
        <w:rPr>
          <w:lang w:val="pt-PT"/>
        </w:rPr>
      </w:pPr>
    </w:p>
    <w:p w:rsidR="00A50FE2" w:rsidRPr="005E5789" w:rsidRDefault="00A50FE2" w:rsidP="00A50FE2">
      <w:pPr>
        <w:rPr>
          <w:lang w:val="pt-PT"/>
        </w:rPr>
      </w:pPr>
    </w:p>
    <w:p w:rsidR="00A50FE2" w:rsidRPr="000929A3" w:rsidRDefault="00F07A8C" w:rsidP="00A50FE2">
      <w:pPr>
        <w:pStyle w:val="Ttulo1"/>
        <w:jc w:val="center"/>
        <w:rPr>
          <w:rFonts w:ascii="Times New Roman" w:hAnsi="Times New Roman"/>
          <w:b w:val="0"/>
          <w:sz w:val="28"/>
          <w:szCs w:val="28"/>
          <w:lang w:val="pt-PT"/>
        </w:rPr>
      </w:pPr>
      <w:r>
        <w:rPr>
          <w:rFonts w:ascii="Times New Roman" w:hAnsi="Times New Roman"/>
          <w:b w:val="0"/>
          <w:sz w:val="28"/>
          <w:szCs w:val="28"/>
          <w:lang w:val="pt-PT"/>
        </w:rPr>
        <w:t>Márcia Regina Milanésio Cunha</w:t>
      </w:r>
    </w:p>
    <w:p w:rsidR="00A50FE2" w:rsidRPr="0006605D" w:rsidRDefault="00A50FE2" w:rsidP="00A50FE2">
      <w:pPr>
        <w:rPr>
          <w:lang w:val="pt-PT"/>
        </w:rPr>
      </w:pPr>
    </w:p>
    <w:p w:rsidR="00A50FE2" w:rsidRDefault="00A50FE2" w:rsidP="00A50FE2">
      <w:pPr>
        <w:rPr>
          <w:lang w:val="pt-PT"/>
        </w:rPr>
      </w:pPr>
    </w:p>
    <w:p w:rsidR="00A50FE2" w:rsidRDefault="00A50FE2" w:rsidP="00A50FE2">
      <w:pPr>
        <w:rPr>
          <w:lang w:val="pt-PT"/>
        </w:rPr>
      </w:pPr>
    </w:p>
    <w:p w:rsidR="00A50FE2" w:rsidRDefault="00A50FE2" w:rsidP="00A50FE2">
      <w:pPr>
        <w:spacing w:line="240" w:lineRule="exact"/>
        <w:rPr>
          <w:lang w:val="pt-PT"/>
        </w:rPr>
      </w:pPr>
    </w:p>
    <w:p w:rsidR="00A50FE2" w:rsidRDefault="00A50FE2" w:rsidP="00A50FE2">
      <w:pPr>
        <w:jc w:val="center"/>
        <w:rPr>
          <w:sz w:val="22"/>
          <w:szCs w:val="22"/>
          <w:lang w:val="pt-PT"/>
        </w:rPr>
      </w:pPr>
    </w:p>
    <w:p w:rsidR="00A50FE2" w:rsidRDefault="00A50FE2" w:rsidP="00A50FE2">
      <w:pPr>
        <w:jc w:val="center"/>
        <w:rPr>
          <w:sz w:val="22"/>
          <w:szCs w:val="22"/>
          <w:lang w:val="pt-PT"/>
        </w:rPr>
      </w:pPr>
      <w:r>
        <w:rPr>
          <w:sz w:val="22"/>
          <w:szCs w:val="22"/>
          <w:lang w:val="pt-PT"/>
        </w:rPr>
        <w:t>Dissertação submetida como requisito parcial para obtenção do grau de</w:t>
      </w:r>
    </w:p>
    <w:p w:rsidR="00A50FE2" w:rsidRDefault="00A50FE2" w:rsidP="00A50FE2">
      <w:pPr>
        <w:rPr>
          <w:lang w:val="pt-PT"/>
        </w:rPr>
      </w:pPr>
    </w:p>
    <w:p w:rsidR="00A50FE2" w:rsidRDefault="00A50FE2" w:rsidP="00A50FE2">
      <w:pPr>
        <w:jc w:val="center"/>
        <w:rPr>
          <w:lang w:val="pt-PT"/>
        </w:rPr>
      </w:pPr>
      <w:r>
        <w:rPr>
          <w:lang w:val="pt-PT"/>
        </w:rPr>
        <w:t xml:space="preserve">Mestre </w:t>
      </w:r>
      <w:smartTag w:uri="urn:schemas-microsoft-com:office:smarttags" w:element="PersonName">
        <w:smartTagPr>
          <w:attr w:name="ProductID" w:val="em Administra￧￣o P￺blica"/>
        </w:smartTagPr>
        <w:r>
          <w:rPr>
            <w:lang w:val="pt-PT"/>
          </w:rPr>
          <w:t>em Administração Pública</w:t>
        </w:r>
      </w:smartTag>
    </w:p>
    <w:p w:rsidR="00A50FE2" w:rsidRDefault="00A50FE2" w:rsidP="00A50FE2">
      <w:pPr>
        <w:rPr>
          <w:lang w:val="pt-PT"/>
        </w:rPr>
      </w:pPr>
    </w:p>
    <w:p w:rsidR="00A50FE2" w:rsidRDefault="00A50FE2" w:rsidP="00A50FE2">
      <w:pPr>
        <w:jc w:val="center"/>
        <w:rPr>
          <w:lang w:val="pt-PT"/>
        </w:rPr>
      </w:pPr>
    </w:p>
    <w:p w:rsidR="00A50FE2" w:rsidRDefault="00A50FE2" w:rsidP="00A50FE2">
      <w:pPr>
        <w:jc w:val="center"/>
        <w:rPr>
          <w:lang w:val="pt-PT"/>
        </w:rPr>
      </w:pPr>
    </w:p>
    <w:p w:rsidR="00A50FE2" w:rsidRDefault="00A50FE2" w:rsidP="00A50FE2">
      <w:pPr>
        <w:jc w:val="center"/>
        <w:rPr>
          <w:lang w:val="pt-PT"/>
        </w:rPr>
      </w:pPr>
    </w:p>
    <w:p w:rsidR="00A50FE2" w:rsidRDefault="00A50FE2" w:rsidP="00A50FE2">
      <w:pPr>
        <w:jc w:val="center"/>
        <w:rPr>
          <w:lang w:val="pt-PT"/>
        </w:rPr>
      </w:pPr>
    </w:p>
    <w:p w:rsidR="00A50FE2" w:rsidRDefault="00A50FE2" w:rsidP="00A50FE2">
      <w:pPr>
        <w:jc w:val="center"/>
        <w:rPr>
          <w:lang w:val="pt-PT"/>
        </w:rPr>
      </w:pPr>
    </w:p>
    <w:p w:rsidR="00A50FE2" w:rsidRPr="00407E8F" w:rsidRDefault="00875DFE" w:rsidP="00A50FE2">
      <w:pPr>
        <w:jc w:val="center"/>
        <w:rPr>
          <w:lang w:val="pt-PT"/>
        </w:rPr>
      </w:pPr>
      <w:r>
        <w:rPr>
          <w:lang w:val="pt-PT"/>
        </w:rPr>
        <w:t>Orientadora</w:t>
      </w:r>
      <w:r w:rsidR="00A50FE2" w:rsidRPr="00407E8F">
        <w:rPr>
          <w:lang w:val="pt-PT"/>
        </w:rPr>
        <w:t>:</w:t>
      </w:r>
    </w:p>
    <w:p w:rsidR="00A50FE2" w:rsidRPr="00407E8F" w:rsidRDefault="00F07A8C" w:rsidP="00A50FE2">
      <w:pPr>
        <w:jc w:val="center"/>
        <w:rPr>
          <w:lang w:val="pt-PT"/>
        </w:rPr>
      </w:pPr>
      <w:r>
        <w:rPr>
          <w:lang w:val="pt-PT"/>
        </w:rPr>
        <w:t>Doutora</w:t>
      </w:r>
      <w:r w:rsidRPr="00E41D22">
        <w:rPr>
          <w:lang w:val="pt-PT"/>
        </w:rPr>
        <w:t xml:space="preserve"> Maria Rosario Serafim, </w:t>
      </w:r>
      <w:r>
        <w:rPr>
          <w:lang w:val="pt-PT"/>
        </w:rPr>
        <w:t>Professora Auxiliar</w:t>
      </w:r>
      <w:r w:rsidR="00A50FE2" w:rsidRPr="00407E8F">
        <w:rPr>
          <w:lang w:val="pt-PT"/>
        </w:rPr>
        <w:t>,</w:t>
      </w:r>
      <w:r w:rsidR="00A50FE2" w:rsidRPr="00407E8F">
        <w:rPr>
          <w:lang w:val="pt-PT"/>
        </w:rPr>
        <w:br/>
      </w:r>
      <w:r>
        <w:rPr>
          <w:lang w:val="pt-PT"/>
        </w:rPr>
        <w:t>ISCTE – Instituto Universitário de Lisboa</w:t>
      </w:r>
    </w:p>
    <w:p w:rsidR="00A50FE2" w:rsidRPr="00407E8F" w:rsidRDefault="00A50FE2" w:rsidP="00A50FE2">
      <w:pPr>
        <w:jc w:val="center"/>
        <w:rPr>
          <w:lang w:val="pt-PT"/>
        </w:rPr>
      </w:pPr>
    </w:p>
    <w:p w:rsidR="00A50FE2" w:rsidRDefault="00A50FE2" w:rsidP="00A50FE2">
      <w:pPr>
        <w:jc w:val="center"/>
        <w:rPr>
          <w:lang w:val="pt-PT"/>
        </w:rPr>
      </w:pPr>
    </w:p>
    <w:p w:rsidR="00875DFE" w:rsidRDefault="00875DFE" w:rsidP="00A50FE2">
      <w:pPr>
        <w:jc w:val="center"/>
        <w:rPr>
          <w:lang w:val="pt-PT"/>
        </w:rPr>
      </w:pPr>
    </w:p>
    <w:p w:rsidR="00875DFE" w:rsidRDefault="00875DFE" w:rsidP="00A50FE2">
      <w:pPr>
        <w:jc w:val="center"/>
        <w:rPr>
          <w:lang w:val="pt-PT"/>
        </w:rPr>
      </w:pPr>
    </w:p>
    <w:p w:rsidR="00875DFE" w:rsidRDefault="00875DFE" w:rsidP="00A50FE2">
      <w:pPr>
        <w:jc w:val="center"/>
        <w:rPr>
          <w:lang w:val="pt-PT"/>
        </w:rPr>
      </w:pPr>
    </w:p>
    <w:p w:rsidR="00A50FE2" w:rsidRDefault="00A50FE2" w:rsidP="00A50FE2">
      <w:pPr>
        <w:jc w:val="center"/>
        <w:rPr>
          <w:lang w:val="pt-PT"/>
        </w:rPr>
      </w:pPr>
    </w:p>
    <w:p w:rsidR="00A50FE2" w:rsidRDefault="00A50FE2" w:rsidP="00A50FE2">
      <w:pPr>
        <w:jc w:val="center"/>
        <w:rPr>
          <w:lang w:val="pt-PT"/>
        </w:rPr>
      </w:pPr>
    </w:p>
    <w:p w:rsidR="00A50FE2" w:rsidRPr="00407E8F" w:rsidRDefault="000F54D7" w:rsidP="00A50FE2">
      <w:pPr>
        <w:jc w:val="center"/>
        <w:rPr>
          <w:lang w:val="pt-PT"/>
        </w:rPr>
      </w:pPr>
      <w:r>
        <w:rPr>
          <w:lang w:val="pt-PT"/>
        </w:rPr>
        <w:t>Outubro, 2010</w:t>
      </w:r>
    </w:p>
    <w:p w:rsidR="00F05C88" w:rsidRDefault="00A172E7" w:rsidP="00F05C88">
      <w:pPr>
        <w:pStyle w:val="Corpodetexto2"/>
        <w:spacing w:after="0" w:line="360" w:lineRule="auto"/>
        <w:jc w:val="center"/>
        <w:rPr>
          <w:noProof/>
          <w:sz w:val="32"/>
          <w:lang w:val="pt-PT" w:eastAsia="pt-PT"/>
        </w:rPr>
      </w:pPr>
      <w:r>
        <w:rPr>
          <w:noProof/>
          <w:sz w:val="32"/>
          <w:lang w:val="pt-PT" w:eastAsia="pt-PT"/>
        </w:rPr>
        <w:br w:type="page"/>
      </w:r>
    </w:p>
    <w:p w:rsidR="004477E9" w:rsidRDefault="004477E9" w:rsidP="00F05C88">
      <w:pPr>
        <w:pStyle w:val="Corpodetexto2"/>
        <w:spacing w:after="0" w:line="360" w:lineRule="auto"/>
        <w:jc w:val="center"/>
        <w:rPr>
          <w:noProof/>
          <w:sz w:val="32"/>
          <w:lang w:val="pt-PT" w:eastAsia="pt-PT"/>
        </w:rPr>
      </w:pPr>
    </w:p>
    <w:p w:rsidR="004477E9" w:rsidRDefault="004477E9" w:rsidP="00F05C88">
      <w:pPr>
        <w:pStyle w:val="Corpodetexto2"/>
        <w:spacing w:after="0" w:line="360" w:lineRule="auto"/>
        <w:jc w:val="center"/>
        <w:rPr>
          <w:noProof/>
          <w:sz w:val="32"/>
          <w:lang w:val="pt-PT" w:eastAsia="pt-PT"/>
        </w:rPr>
      </w:pPr>
    </w:p>
    <w:p w:rsidR="004477E9" w:rsidRDefault="004477E9" w:rsidP="00F05C88">
      <w:pPr>
        <w:pStyle w:val="Corpodetexto2"/>
        <w:spacing w:after="0" w:line="360" w:lineRule="auto"/>
        <w:jc w:val="center"/>
        <w:rPr>
          <w:noProof/>
          <w:sz w:val="32"/>
          <w:lang w:val="pt-PT" w:eastAsia="pt-PT"/>
        </w:rPr>
        <w:sectPr w:rsidR="004477E9" w:rsidSect="00366370">
          <w:footerReference w:type="even" r:id="rId9"/>
          <w:footerReference w:type="default" r:id="rId10"/>
          <w:pgSz w:w="11906" w:h="16838"/>
          <w:pgMar w:top="1474" w:right="1474" w:bottom="1474" w:left="1474" w:header="709" w:footer="709" w:gutter="0"/>
          <w:cols w:space="708"/>
          <w:docGrid w:linePitch="360"/>
        </w:sectPr>
      </w:pPr>
    </w:p>
    <w:p w:rsidR="00462084" w:rsidRPr="00A85E06" w:rsidRDefault="00462084" w:rsidP="00F05C88">
      <w:pPr>
        <w:pStyle w:val="Corpodetexto2"/>
        <w:spacing w:after="0" w:line="360" w:lineRule="auto"/>
        <w:jc w:val="center"/>
        <w:rPr>
          <w:rFonts w:ascii="Arial" w:hAnsi="Arial" w:cs="Arial"/>
          <w:b/>
          <w:sz w:val="22"/>
          <w:szCs w:val="22"/>
          <w:lang w:val="pt-BR"/>
        </w:rPr>
      </w:pPr>
      <w:r w:rsidRPr="00A85E06">
        <w:rPr>
          <w:rFonts w:ascii="Arial" w:hAnsi="Arial" w:cs="Arial"/>
          <w:b/>
          <w:sz w:val="22"/>
          <w:szCs w:val="22"/>
          <w:lang w:val="pt-BR"/>
        </w:rPr>
        <w:lastRenderedPageBreak/>
        <w:t>RESUMO E PALAVRAS CHAVE</w:t>
      </w: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9A318F" w:rsidP="00A57A15">
      <w:pPr>
        <w:spacing w:line="360" w:lineRule="auto"/>
        <w:jc w:val="both"/>
        <w:rPr>
          <w:rFonts w:ascii="Arial" w:hAnsi="Arial" w:cs="Arial"/>
          <w:sz w:val="22"/>
          <w:szCs w:val="22"/>
        </w:rPr>
      </w:pPr>
      <w:r w:rsidRPr="00FD62A0">
        <w:rPr>
          <w:rFonts w:ascii="Arial" w:hAnsi="Arial" w:cs="Arial"/>
          <w:sz w:val="22"/>
          <w:szCs w:val="22"/>
        </w:rPr>
        <w:t xml:space="preserve">O presente trabalho objetiva analisar a situação da exploração sexual </w:t>
      </w:r>
      <w:r w:rsidR="00A85E06">
        <w:rPr>
          <w:rFonts w:ascii="Arial" w:hAnsi="Arial" w:cs="Arial"/>
          <w:sz w:val="22"/>
          <w:szCs w:val="22"/>
        </w:rPr>
        <w:t>infantojuvenil</w:t>
      </w:r>
      <w:r w:rsidR="00A57A15" w:rsidRPr="00FD62A0">
        <w:rPr>
          <w:rFonts w:ascii="Arial" w:hAnsi="Arial" w:cs="Arial"/>
          <w:sz w:val="22"/>
          <w:szCs w:val="22"/>
        </w:rPr>
        <w:t xml:space="preserve"> no Brasil, à luz das parcerias público privadas. As parcerias são estudadas no trabalho como uma forma de combater a mencionada exploração sexual. Partindo da realidade nacional, são consideradas </w:t>
      </w:r>
      <w:r w:rsidR="003F48BA" w:rsidRPr="00FD62A0">
        <w:rPr>
          <w:rFonts w:ascii="Arial" w:hAnsi="Arial" w:cs="Arial"/>
          <w:sz w:val="22"/>
          <w:szCs w:val="22"/>
        </w:rPr>
        <w:t xml:space="preserve">ainda </w:t>
      </w:r>
      <w:r w:rsidR="00A57A15" w:rsidRPr="00FD62A0">
        <w:rPr>
          <w:rFonts w:ascii="Arial" w:hAnsi="Arial" w:cs="Arial"/>
          <w:sz w:val="22"/>
          <w:szCs w:val="22"/>
        </w:rPr>
        <w:t>as iniciativas para mudança, a legislação e demais esforços para mudança Sua implementação é observada nos dois projetos estudados</w:t>
      </w:r>
      <w:r w:rsidR="003F48BA" w:rsidRPr="00FD62A0">
        <w:rPr>
          <w:rFonts w:ascii="Arial" w:hAnsi="Arial" w:cs="Arial"/>
          <w:sz w:val="22"/>
          <w:szCs w:val="22"/>
        </w:rPr>
        <w:t>, implementados em Fortaleza - CE</w:t>
      </w:r>
      <w:r w:rsidR="00A57A15" w:rsidRPr="00FD62A0">
        <w:rPr>
          <w:rFonts w:ascii="Arial" w:hAnsi="Arial" w:cs="Arial"/>
          <w:sz w:val="22"/>
          <w:szCs w:val="22"/>
        </w:rPr>
        <w:t>. Para que tal estudo seja melhor contextualizado, são estudados também o Estado e a Administração Pública, assim como sua constante evolução</w:t>
      </w:r>
      <w:r w:rsidR="003F48BA" w:rsidRPr="00FD62A0">
        <w:rPr>
          <w:rFonts w:ascii="Arial" w:hAnsi="Arial" w:cs="Arial"/>
          <w:sz w:val="22"/>
          <w:szCs w:val="22"/>
        </w:rPr>
        <w:t>, que tem permitido de forma mais recente que a participação do setor privado na prestação de serviços e resolução de problemas seja crescente e proveitosa.</w:t>
      </w: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3F48BA" w:rsidRPr="00FD62A0" w:rsidRDefault="003F48BA" w:rsidP="00BF4427">
      <w:pPr>
        <w:spacing w:line="360" w:lineRule="auto"/>
        <w:jc w:val="center"/>
        <w:rPr>
          <w:rFonts w:ascii="Arial" w:hAnsi="Arial" w:cs="Arial"/>
          <w:b/>
          <w:sz w:val="22"/>
          <w:szCs w:val="22"/>
        </w:rPr>
      </w:pPr>
    </w:p>
    <w:p w:rsidR="00462084" w:rsidRPr="00FD62A0" w:rsidRDefault="002B35FF" w:rsidP="002B35FF">
      <w:pPr>
        <w:spacing w:line="360" w:lineRule="auto"/>
        <w:ind w:left="1985" w:hanging="1985"/>
        <w:jc w:val="both"/>
        <w:rPr>
          <w:rFonts w:ascii="Arial" w:hAnsi="Arial" w:cs="Arial"/>
          <w:sz w:val="22"/>
          <w:szCs w:val="22"/>
        </w:rPr>
      </w:pPr>
      <w:r w:rsidRPr="00FD62A0">
        <w:rPr>
          <w:rFonts w:ascii="Arial" w:hAnsi="Arial" w:cs="Arial"/>
          <w:sz w:val="22"/>
          <w:szCs w:val="22"/>
        </w:rPr>
        <w:t>Palavras chave</w:t>
      </w:r>
      <w:r w:rsidR="003F48BA" w:rsidRPr="00FD62A0">
        <w:rPr>
          <w:rFonts w:ascii="Arial" w:hAnsi="Arial" w:cs="Arial"/>
          <w:sz w:val="22"/>
          <w:szCs w:val="22"/>
        </w:rPr>
        <w:t xml:space="preserve">: exploração sexual </w:t>
      </w:r>
      <w:r w:rsidR="00A85E06">
        <w:rPr>
          <w:rFonts w:ascii="Arial" w:hAnsi="Arial" w:cs="Arial"/>
          <w:sz w:val="22"/>
          <w:szCs w:val="22"/>
        </w:rPr>
        <w:t>infantojuvenil</w:t>
      </w:r>
      <w:r w:rsidR="003F48BA" w:rsidRPr="00FD62A0">
        <w:rPr>
          <w:rFonts w:ascii="Arial" w:hAnsi="Arial" w:cs="Arial"/>
          <w:sz w:val="22"/>
          <w:szCs w:val="22"/>
        </w:rPr>
        <w:t>, parcerias público-privadas, Estado, Administração Pública</w:t>
      </w:r>
    </w:p>
    <w:p w:rsidR="00462084" w:rsidRPr="00FD62A0" w:rsidRDefault="00462084" w:rsidP="00BF4427">
      <w:pPr>
        <w:spacing w:line="360" w:lineRule="auto"/>
        <w:jc w:val="center"/>
        <w:rPr>
          <w:rFonts w:ascii="Arial" w:hAnsi="Arial" w:cs="Arial"/>
          <w:b/>
          <w:sz w:val="22"/>
          <w:szCs w:val="22"/>
        </w:rPr>
      </w:pPr>
    </w:p>
    <w:p w:rsidR="00462084" w:rsidRPr="00A85E06" w:rsidRDefault="00462084" w:rsidP="00BF4427">
      <w:pPr>
        <w:spacing w:line="360" w:lineRule="auto"/>
        <w:jc w:val="center"/>
        <w:rPr>
          <w:rFonts w:ascii="Arial" w:hAnsi="Arial" w:cs="Arial"/>
          <w:b/>
          <w:sz w:val="22"/>
          <w:szCs w:val="22"/>
        </w:rPr>
      </w:pPr>
    </w:p>
    <w:p w:rsidR="00462084" w:rsidRPr="00A85E06" w:rsidRDefault="00462084" w:rsidP="00BF4427">
      <w:pPr>
        <w:spacing w:line="360" w:lineRule="auto"/>
        <w:jc w:val="center"/>
        <w:rPr>
          <w:rFonts w:ascii="Arial" w:hAnsi="Arial" w:cs="Arial"/>
          <w:b/>
          <w:sz w:val="22"/>
          <w:szCs w:val="22"/>
        </w:rPr>
      </w:pPr>
    </w:p>
    <w:p w:rsidR="00462084" w:rsidRPr="00A85E06" w:rsidRDefault="00462084" w:rsidP="00BF4427">
      <w:pPr>
        <w:spacing w:line="360" w:lineRule="auto"/>
        <w:jc w:val="center"/>
        <w:rPr>
          <w:rFonts w:ascii="Arial" w:hAnsi="Arial" w:cs="Arial"/>
          <w:b/>
          <w:sz w:val="22"/>
          <w:szCs w:val="22"/>
        </w:rPr>
      </w:pPr>
    </w:p>
    <w:p w:rsidR="00462084" w:rsidRPr="00A85E06" w:rsidRDefault="00462084" w:rsidP="00BF4427">
      <w:pPr>
        <w:spacing w:line="360" w:lineRule="auto"/>
        <w:jc w:val="center"/>
        <w:rPr>
          <w:rFonts w:ascii="Arial" w:hAnsi="Arial" w:cs="Arial"/>
          <w:b/>
          <w:sz w:val="22"/>
          <w:szCs w:val="22"/>
        </w:rPr>
      </w:pPr>
    </w:p>
    <w:p w:rsidR="00462084" w:rsidRPr="00A85E06" w:rsidRDefault="00462084" w:rsidP="00BF4427">
      <w:pPr>
        <w:spacing w:line="360" w:lineRule="auto"/>
        <w:jc w:val="center"/>
        <w:rPr>
          <w:rFonts w:ascii="Arial" w:hAnsi="Arial" w:cs="Arial"/>
          <w:b/>
          <w:sz w:val="22"/>
          <w:szCs w:val="22"/>
        </w:rPr>
      </w:pPr>
    </w:p>
    <w:p w:rsidR="00462084" w:rsidRPr="00A85E06" w:rsidRDefault="00462084" w:rsidP="00BF4427">
      <w:pPr>
        <w:spacing w:line="360" w:lineRule="auto"/>
        <w:jc w:val="center"/>
        <w:rPr>
          <w:rFonts w:ascii="Arial" w:hAnsi="Arial" w:cs="Arial"/>
          <w:b/>
          <w:sz w:val="22"/>
          <w:szCs w:val="22"/>
        </w:rPr>
      </w:pPr>
    </w:p>
    <w:p w:rsidR="00462084" w:rsidRPr="00A85E06" w:rsidRDefault="00462084" w:rsidP="00BF4427">
      <w:pPr>
        <w:spacing w:line="360" w:lineRule="auto"/>
        <w:jc w:val="center"/>
        <w:rPr>
          <w:rFonts w:ascii="Arial" w:hAnsi="Arial" w:cs="Arial"/>
          <w:b/>
          <w:sz w:val="22"/>
          <w:szCs w:val="22"/>
        </w:rPr>
      </w:pPr>
    </w:p>
    <w:p w:rsidR="002A1169" w:rsidRPr="00A85E06" w:rsidRDefault="002A1169" w:rsidP="00BF4427">
      <w:pPr>
        <w:spacing w:line="360" w:lineRule="auto"/>
        <w:jc w:val="center"/>
        <w:rPr>
          <w:rFonts w:ascii="Arial" w:hAnsi="Arial" w:cs="Arial"/>
          <w:b/>
          <w:sz w:val="22"/>
          <w:szCs w:val="22"/>
        </w:rPr>
      </w:pPr>
    </w:p>
    <w:p w:rsidR="002A1169" w:rsidRPr="00A85E06" w:rsidRDefault="002A1169" w:rsidP="00BF4427">
      <w:pPr>
        <w:spacing w:line="360" w:lineRule="auto"/>
        <w:jc w:val="center"/>
        <w:rPr>
          <w:rFonts w:ascii="Arial" w:hAnsi="Arial" w:cs="Arial"/>
          <w:b/>
          <w:sz w:val="22"/>
          <w:szCs w:val="22"/>
        </w:rPr>
      </w:pPr>
    </w:p>
    <w:p w:rsidR="002A1169" w:rsidRPr="00A85E06" w:rsidRDefault="002A1169" w:rsidP="00BF4427">
      <w:pPr>
        <w:spacing w:line="360" w:lineRule="auto"/>
        <w:jc w:val="center"/>
        <w:rPr>
          <w:rFonts w:ascii="Arial" w:hAnsi="Arial" w:cs="Arial"/>
          <w:b/>
          <w:sz w:val="22"/>
          <w:szCs w:val="22"/>
        </w:rPr>
      </w:pPr>
    </w:p>
    <w:p w:rsidR="002A1169" w:rsidRPr="00A85E06" w:rsidRDefault="002A1169" w:rsidP="00BF4427">
      <w:pPr>
        <w:spacing w:line="360" w:lineRule="auto"/>
        <w:jc w:val="center"/>
        <w:rPr>
          <w:rFonts w:ascii="Arial" w:hAnsi="Arial" w:cs="Arial"/>
          <w:b/>
          <w:sz w:val="22"/>
          <w:szCs w:val="22"/>
        </w:rPr>
      </w:pPr>
    </w:p>
    <w:p w:rsidR="002A1169" w:rsidRPr="00A85E06" w:rsidRDefault="002A1169" w:rsidP="00BF4427">
      <w:pPr>
        <w:spacing w:line="360" w:lineRule="auto"/>
        <w:jc w:val="center"/>
        <w:rPr>
          <w:rFonts w:ascii="Arial" w:hAnsi="Arial" w:cs="Arial"/>
          <w:b/>
          <w:sz w:val="22"/>
          <w:szCs w:val="22"/>
        </w:rPr>
      </w:pPr>
    </w:p>
    <w:p w:rsidR="004477E9" w:rsidRPr="00A85E06" w:rsidRDefault="004477E9" w:rsidP="00BF4427">
      <w:pPr>
        <w:spacing w:line="360" w:lineRule="auto"/>
        <w:jc w:val="center"/>
        <w:rPr>
          <w:rFonts w:ascii="Arial" w:hAnsi="Arial" w:cs="Arial"/>
          <w:b/>
          <w:sz w:val="22"/>
          <w:szCs w:val="22"/>
        </w:rPr>
      </w:pPr>
    </w:p>
    <w:p w:rsidR="002A1169" w:rsidRPr="00A85E06" w:rsidRDefault="002A1169" w:rsidP="00BF4427">
      <w:pPr>
        <w:spacing w:line="360" w:lineRule="auto"/>
        <w:jc w:val="center"/>
        <w:rPr>
          <w:rFonts w:ascii="Arial" w:hAnsi="Arial" w:cs="Arial"/>
          <w:b/>
          <w:sz w:val="22"/>
          <w:szCs w:val="22"/>
        </w:rPr>
      </w:pPr>
    </w:p>
    <w:p w:rsidR="007B6082" w:rsidRPr="00A85E06" w:rsidRDefault="007B6082" w:rsidP="00BF4427">
      <w:pPr>
        <w:spacing w:line="360" w:lineRule="auto"/>
        <w:jc w:val="center"/>
        <w:rPr>
          <w:rFonts w:ascii="Arial" w:hAnsi="Arial" w:cs="Arial"/>
          <w:b/>
          <w:sz w:val="22"/>
          <w:szCs w:val="22"/>
        </w:rPr>
      </w:pPr>
    </w:p>
    <w:p w:rsidR="007B6082" w:rsidRPr="00A85E06" w:rsidRDefault="007B6082" w:rsidP="00BF4427">
      <w:pPr>
        <w:spacing w:line="360" w:lineRule="auto"/>
        <w:jc w:val="center"/>
        <w:rPr>
          <w:rFonts w:ascii="Arial" w:hAnsi="Arial" w:cs="Arial"/>
          <w:b/>
          <w:sz w:val="22"/>
          <w:szCs w:val="22"/>
        </w:rPr>
      </w:pPr>
    </w:p>
    <w:p w:rsidR="007B6082" w:rsidRPr="00A85E06" w:rsidRDefault="007B6082" w:rsidP="00BF4427">
      <w:pPr>
        <w:spacing w:line="360" w:lineRule="auto"/>
        <w:jc w:val="center"/>
        <w:rPr>
          <w:rFonts w:ascii="Arial" w:hAnsi="Arial" w:cs="Arial"/>
          <w:b/>
          <w:sz w:val="22"/>
          <w:szCs w:val="22"/>
        </w:rPr>
      </w:pPr>
    </w:p>
    <w:p w:rsidR="007B6082" w:rsidRPr="00A85E06" w:rsidRDefault="007B6082" w:rsidP="00BF4427">
      <w:pPr>
        <w:spacing w:line="360" w:lineRule="auto"/>
        <w:jc w:val="center"/>
        <w:rPr>
          <w:rFonts w:ascii="Arial" w:hAnsi="Arial" w:cs="Arial"/>
          <w:b/>
          <w:sz w:val="22"/>
          <w:szCs w:val="22"/>
        </w:rPr>
      </w:pPr>
    </w:p>
    <w:p w:rsidR="007B6082" w:rsidRPr="00A85E06" w:rsidRDefault="007B6082"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lang w:val="en-US"/>
        </w:rPr>
      </w:pPr>
      <w:r w:rsidRPr="00FD62A0">
        <w:rPr>
          <w:rFonts w:ascii="Arial" w:hAnsi="Arial" w:cs="Arial"/>
          <w:b/>
          <w:sz w:val="22"/>
          <w:szCs w:val="22"/>
          <w:lang w:val="en-US"/>
        </w:rPr>
        <w:t>ABSTRACT E KEY WORDS</w:t>
      </w: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2B35FF" w:rsidRPr="00FD62A0" w:rsidRDefault="002B35FF" w:rsidP="002B35FF">
      <w:pPr>
        <w:spacing w:line="360" w:lineRule="auto"/>
        <w:jc w:val="both"/>
        <w:rPr>
          <w:rFonts w:ascii="Arial" w:hAnsi="Arial" w:cs="Arial"/>
          <w:sz w:val="22"/>
          <w:szCs w:val="22"/>
          <w:lang w:val="en-US"/>
        </w:rPr>
      </w:pPr>
      <w:r w:rsidRPr="00FD62A0">
        <w:rPr>
          <w:rFonts w:ascii="Arial" w:hAnsi="Arial" w:cs="Arial"/>
          <w:sz w:val="22"/>
          <w:szCs w:val="22"/>
          <w:lang w:val="en-US"/>
        </w:rPr>
        <w:t xml:space="preserve">The present </w:t>
      </w:r>
      <w:r w:rsidR="00FD62A0">
        <w:rPr>
          <w:rFonts w:ascii="Arial" w:hAnsi="Arial" w:cs="Arial"/>
          <w:sz w:val="22"/>
          <w:szCs w:val="22"/>
          <w:lang w:val="en-US"/>
        </w:rPr>
        <w:t>paper</w:t>
      </w:r>
      <w:r w:rsidRPr="00FD62A0">
        <w:rPr>
          <w:rFonts w:ascii="Arial" w:hAnsi="Arial" w:cs="Arial"/>
          <w:sz w:val="22"/>
          <w:szCs w:val="22"/>
          <w:lang w:val="en-US"/>
        </w:rPr>
        <w:t xml:space="preserve"> aim to analyze the children´s sexual exploitation in </w:t>
      </w:r>
      <w:smartTag w:uri="urn:schemas-microsoft-com:office:smarttags" w:element="country-region">
        <w:smartTag w:uri="urn:schemas-microsoft-com:office:smarttags" w:element="place">
          <w:r w:rsidRPr="00FD62A0">
            <w:rPr>
              <w:rFonts w:ascii="Arial" w:hAnsi="Arial" w:cs="Arial"/>
              <w:sz w:val="22"/>
              <w:szCs w:val="22"/>
              <w:lang w:val="en-US"/>
            </w:rPr>
            <w:t>Brazil</w:t>
          </w:r>
        </w:smartTag>
      </w:smartTag>
      <w:r w:rsidRPr="00FD62A0">
        <w:rPr>
          <w:rFonts w:ascii="Arial" w:hAnsi="Arial" w:cs="Arial"/>
          <w:sz w:val="22"/>
          <w:szCs w:val="22"/>
          <w:lang w:val="en-US"/>
        </w:rPr>
        <w:t xml:space="preserve">, at light of public private partnerships. the partnerships are studied in the work as a form to combat the mentioned sexual exploitation. From the national reality, are considered yet the challenge initiatives, legislation and many others efforts to changes. </w:t>
      </w:r>
      <w:r w:rsidR="00875DFE" w:rsidRPr="00FD62A0">
        <w:rPr>
          <w:rFonts w:ascii="Arial" w:hAnsi="Arial" w:cs="Arial"/>
          <w:sz w:val="22"/>
          <w:szCs w:val="22"/>
          <w:lang w:val="en-US"/>
        </w:rPr>
        <w:t>Its implementations are</w:t>
      </w:r>
      <w:r w:rsidRPr="00FD62A0">
        <w:rPr>
          <w:rFonts w:ascii="Arial" w:hAnsi="Arial" w:cs="Arial"/>
          <w:sz w:val="22"/>
          <w:szCs w:val="22"/>
          <w:lang w:val="en-US"/>
        </w:rPr>
        <w:t xml:space="preserve"> observed in both studied projects implemented in </w:t>
      </w:r>
      <w:smartTag w:uri="urn:schemas-microsoft-com:office:smarttags" w:element="City">
        <w:smartTag w:uri="urn:schemas-microsoft-com:office:smarttags" w:element="place">
          <w:r w:rsidRPr="00FD62A0">
            <w:rPr>
              <w:rFonts w:ascii="Arial" w:hAnsi="Arial" w:cs="Arial"/>
              <w:sz w:val="22"/>
              <w:szCs w:val="22"/>
              <w:lang w:val="en-US"/>
            </w:rPr>
            <w:t>Fortaleza</w:t>
          </w:r>
        </w:smartTag>
      </w:smartTag>
      <w:r w:rsidRPr="00FD62A0">
        <w:rPr>
          <w:rFonts w:ascii="Arial" w:hAnsi="Arial" w:cs="Arial"/>
          <w:sz w:val="22"/>
          <w:szCs w:val="22"/>
          <w:lang w:val="en-US"/>
        </w:rPr>
        <w:t xml:space="preserve"> - CE. To better contextualize this study, are studied too the State, the Public Administration, as soon as its constant evolution. It has permitted in a recent way, that the private sector </w:t>
      </w:r>
      <w:r w:rsidR="00875DFE" w:rsidRPr="00FD62A0">
        <w:rPr>
          <w:rFonts w:ascii="Arial" w:hAnsi="Arial" w:cs="Arial"/>
          <w:sz w:val="22"/>
          <w:szCs w:val="22"/>
          <w:lang w:val="en-US"/>
        </w:rPr>
        <w:t>participation in</w:t>
      </w:r>
      <w:r w:rsidRPr="00FD62A0">
        <w:rPr>
          <w:rFonts w:ascii="Arial" w:hAnsi="Arial" w:cs="Arial"/>
          <w:sz w:val="22"/>
          <w:szCs w:val="22"/>
          <w:lang w:val="en-US"/>
        </w:rPr>
        <w:t xml:space="preserve"> services making and in problems resolution must be crescent and profitable.</w:t>
      </w:r>
    </w:p>
    <w:p w:rsidR="002B35FF" w:rsidRPr="00FD62A0" w:rsidRDefault="002B35FF" w:rsidP="002B35FF">
      <w:pPr>
        <w:spacing w:line="360" w:lineRule="auto"/>
        <w:jc w:val="center"/>
        <w:rPr>
          <w:rFonts w:ascii="Arial" w:hAnsi="Arial" w:cs="Arial"/>
          <w:b/>
          <w:sz w:val="22"/>
          <w:szCs w:val="22"/>
          <w:lang w:val="en-US"/>
        </w:rPr>
      </w:pPr>
    </w:p>
    <w:p w:rsidR="002B35FF" w:rsidRPr="00FD62A0" w:rsidRDefault="002B35FF" w:rsidP="002B35FF">
      <w:pPr>
        <w:spacing w:line="360" w:lineRule="auto"/>
        <w:jc w:val="center"/>
        <w:rPr>
          <w:rFonts w:ascii="Arial" w:hAnsi="Arial" w:cs="Arial"/>
          <w:b/>
          <w:sz w:val="22"/>
          <w:szCs w:val="22"/>
          <w:lang w:val="en-US"/>
        </w:rPr>
      </w:pPr>
    </w:p>
    <w:p w:rsidR="002B35FF" w:rsidRPr="00FD62A0" w:rsidRDefault="002B35FF" w:rsidP="002B35FF">
      <w:pPr>
        <w:spacing w:line="360" w:lineRule="auto"/>
        <w:jc w:val="center"/>
        <w:rPr>
          <w:rFonts w:ascii="Arial" w:hAnsi="Arial" w:cs="Arial"/>
          <w:b/>
          <w:sz w:val="22"/>
          <w:szCs w:val="22"/>
          <w:lang w:val="en-US"/>
        </w:rPr>
      </w:pPr>
    </w:p>
    <w:p w:rsidR="002B35FF" w:rsidRPr="00FD62A0" w:rsidRDefault="002B35FF" w:rsidP="002B35FF">
      <w:pPr>
        <w:spacing w:line="360" w:lineRule="auto"/>
        <w:jc w:val="center"/>
        <w:rPr>
          <w:rFonts w:ascii="Arial" w:hAnsi="Arial" w:cs="Arial"/>
          <w:sz w:val="22"/>
          <w:szCs w:val="22"/>
          <w:lang w:val="en-US"/>
        </w:rPr>
      </w:pPr>
      <w:r w:rsidRPr="00FD62A0">
        <w:rPr>
          <w:rFonts w:ascii="Arial" w:hAnsi="Arial" w:cs="Arial"/>
          <w:sz w:val="22"/>
          <w:szCs w:val="22"/>
          <w:lang w:val="en-US"/>
        </w:rPr>
        <w:t>Key words: children´s sexual exploitation, public private partnership, State, Public Administration</w:t>
      </w: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Default="00462084" w:rsidP="00BF4427">
      <w:pPr>
        <w:spacing w:line="360" w:lineRule="auto"/>
        <w:jc w:val="center"/>
        <w:rPr>
          <w:rFonts w:ascii="Arial" w:hAnsi="Arial" w:cs="Arial"/>
          <w:b/>
          <w:sz w:val="22"/>
          <w:szCs w:val="22"/>
          <w:lang w:val="en-US"/>
        </w:rPr>
      </w:pPr>
    </w:p>
    <w:p w:rsidR="00FD62A0" w:rsidRDefault="00FD62A0" w:rsidP="00BF4427">
      <w:pPr>
        <w:spacing w:line="360" w:lineRule="auto"/>
        <w:jc w:val="center"/>
        <w:rPr>
          <w:rFonts w:ascii="Arial" w:hAnsi="Arial" w:cs="Arial"/>
          <w:b/>
          <w:sz w:val="22"/>
          <w:szCs w:val="22"/>
          <w:lang w:val="en-US"/>
        </w:rPr>
      </w:pPr>
    </w:p>
    <w:p w:rsidR="00FD62A0" w:rsidRDefault="00FD62A0" w:rsidP="00BF4427">
      <w:pPr>
        <w:spacing w:line="360" w:lineRule="auto"/>
        <w:jc w:val="center"/>
        <w:rPr>
          <w:rFonts w:ascii="Arial" w:hAnsi="Arial" w:cs="Arial"/>
          <w:b/>
          <w:sz w:val="22"/>
          <w:szCs w:val="22"/>
          <w:lang w:val="en-US"/>
        </w:rPr>
      </w:pPr>
    </w:p>
    <w:p w:rsidR="00FD62A0" w:rsidRPr="00FD62A0" w:rsidRDefault="00FD62A0"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462084" w:rsidRPr="00FD62A0" w:rsidRDefault="00462084" w:rsidP="00BF4427">
      <w:pPr>
        <w:spacing w:line="360" w:lineRule="auto"/>
        <w:jc w:val="center"/>
        <w:rPr>
          <w:rFonts w:ascii="Arial" w:hAnsi="Arial" w:cs="Arial"/>
          <w:b/>
          <w:sz w:val="22"/>
          <w:szCs w:val="22"/>
          <w:lang w:val="en-US"/>
        </w:rPr>
      </w:pPr>
    </w:p>
    <w:p w:rsidR="00FE3E87" w:rsidRPr="00FD62A0" w:rsidRDefault="0092603B" w:rsidP="00BF4427">
      <w:pPr>
        <w:spacing w:line="360" w:lineRule="auto"/>
        <w:jc w:val="center"/>
        <w:rPr>
          <w:rFonts w:ascii="Arial" w:hAnsi="Arial" w:cs="Arial"/>
          <w:b/>
          <w:sz w:val="22"/>
          <w:szCs w:val="22"/>
          <w:lang w:val="en-US"/>
        </w:rPr>
      </w:pPr>
      <w:r w:rsidRPr="00FD62A0">
        <w:rPr>
          <w:rFonts w:ascii="Arial" w:hAnsi="Arial" w:cs="Arial"/>
          <w:b/>
          <w:sz w:val="22"/>
          <w:szCs w:val="22"/>
          <w:lang w:val="en-US"/>
        </w:rPr>
        <w:lastRenderedPageBreak/>
        <w:t>ÍNDICE</w:t>
      </w:r>
    </w:p>
    <w:p w:rsidR="00FE3E87" w:rsidRPr="00FD62A0" w:rsidRDefault="00FE3E87" w:rsidP="00BF4427">
      <w:pPr>
        <w:spacing w:line="360" w:lineRule="auto"/>
        <w:jc w:val="center"/>
        <w:rPr>
          <w:rFonts w:ascii="Arial" w:hAnsi="Arial" w:cs="Arial"/>
          <w:b/>
          <w:sz w:val="22"/>
          <w:szCs w:val="22"/>
          <w:lang w:val="en-US"/>
        </w:rPr>
      </w:pPr>
    </w:p>
    <w:tbl>
      <w:tblPr>
        <w:tblW w:w="9448" w:type="dxa"/>
        <w:tblLook w:val="04A0"/>
      </w:tblPr>
      <w:tblGrid>
        <w:gridCol w:w="8965"/>
        <w:gridCol w:w="483"/>
      </w:tblGrid>
      <w:tr w:rsidR="00957DF1" w:rsidRPr="00FD62A0" w:rsidTr="00D52F9A">
        <w:tc>
          <w:tcPr>
            <w:tcW w:w="8965" w:type="dxa"/>
          </w:tcPr>
          <w:p w:rsidR="00FE3E87" w:rsidRPr="00FD62A0" w:rsidRDefault="00FE3E87" w:rsidP="00BF4427">
            <w:pPr>
              <w:spacing w:line="360" w:lineRule="auto"/>
              <w:rPr>
                <w:rFonts w:ascii="Arial" w:hAnsi="Arial" w:cs="Arial"/>
                <w:sz w:val="22"/>
                <w:szCs w:val="22"/>
              </w:rPr>
            </w:pPr>
            <w:r w:rsidRPr="00FD62A0">
              <w:rPr>
                <w:rFonts w:ascii="Arial" w:hAnsi="Arial" w:cs="Arial"/>
                <w:b/>
                <w:sz w:val="22"/>
                <w:szCs w:val="22"/>
              </w:rPr>
              <w:t>INTRODUÇÃO.</w:t>
            </w:r>
            <w:r w:rsidR="0092603B" w:rsidRPr="00FD62A0">
              <w:rPr>
                <w:rFonts w:ascii="Arial" w:hAnsi="Arial" w:cs="Arial"/>
                <w:b/>
                <w:sz w:val="22"/>
                <w:szCs w:val="22"/>
              </w:rPr>
              <w:t>....</w:t>
            </w:r>
            <w:r w:rsidRPr="00FD62A0">
              <w:rPr>
                <w:rFonts w:ascii="Arial" w:hAnsi="Arial" w:cs="Arial"/>
                <w:b/>
                <w:sz w:val="22"/>
                <w:szCs w:val="22"/>
              </w:rPr>
              <w:t>..............................................................................................</w:t>
            </w:r>
            <w:r w:rsidR="00B357DE" w:rsidRPr="00FD62A0">
              <w:rPr>
                <w:rFonts w:ascii="Arial" w:hAnsi="Arial" w:cs="Arial"/>
                <w:b/>
                <w:sz w:val="22"/>
                <w:szCs w:val="22"/>
              </w:rPr>
              <w:t>....</w:t>
            </w:r>
            <w:r w:rsidRPr="00FD62A0">
              <w:rPr>
                <w:rFonts w:ascii="Arial" w:hAnsi="Arial" w:cs="Arial"/>
                <w:b/>
                <w:sz w:val="22"/>
                <w:szCs w:val="22"/>
              </w:rPr>
              <w:t>..</w:t>
            </w:r>
          </w:p>
        </w:tc>
        <w:tc>
          <w:tcPr>
            <w:tcW w:w="483" w:type="dxa"/>
          </w:tcPr>
          <w:p w:rsidR="00FE3E87" w:rsidRPr="00FD62A0" w:rsidRDefault="003439F9" w:rsidP="00BF4427">
            <w:pPr>
              <w:spacing w:line="360" w:lineRule="auto"/>
              <w:jc w:val="center"/>
              <w:rPr>
                <w:rFonts w:ascii="Arial" w:hAnsi="Arial" w:cs="Arial"/>
                <w:sz w:val="22"/>
                <w:szCs w:val="22"/>
              </w:rPr>
            </w:pPr>
            <w:r w:rsidRPr="00FD62A0">
              <w:rPr>
                <w:rFonts w:ascii="Arial" w:hAnsi="Arial" w:cs="Arial"/>
                <w:sz w:val="22"/>
                <w:szCs w:val="22"/>
              </w:rPr>
              <w:t>1</w:t>
            </w:r>
          </w:p>
        </w:tc>
      </w:tr>
      <w:tr w:rsidR="00957DF1" w:rsidRPr="00FD62A0" w:rsidTr="00D52F9A">
        <w:tc>
          <w:tcPr>
            <w:tcW w:w="8965" w:type="dxa"/>
          </w:tcPr>
          <w:p w:rsidR="00FE3E87" w:rsidRPr="00FD62A0" w:rsidRDefault="00707618" w:rsidP="00BF4427">
            <w:pPr>
              <w:spacing w:line="360" w:lineRule="auto"/>
              <w:rPr>
                <w:rFonts w:ascii="Arial" w:hAnsi="Arial" w:cs="Arial"/>
                <w:b/>
                <w:sz w:val="22"/>
                <w:szCs w:val="22"/>
              </w:rPr>
            </w:pPr>
            <w:r w:rsidRPr="00FD62A0">
              <w:rPr>
                <w:rFonts w:ascii="Arial" w:hAnsi="Arial" w:cs="Arial"/>
                <w:b/>
                <w:sz w:val="22"/>
                <w:szCs w:val="22"/>
              </w:rPr>
              <w:t>CAPÍTULO I: O ESTADO: CONCEITO E EVOLUÇÃO</w:t>
            </w:r>
            <w:r w:rsidR="00B357DE" w:rsidRPr="00FD62A0">
              <w:rPr>
                <w:rFonts w:ascii="Arial" w:hAnsi="Arial" w:cs="Arial"/>
                <w:b/>
                <w:sz w:val="22"/>
                <w:szCs w:val="22"/>
              </w:rPr>
              <w:t>......</w:t>
            </w:r>
            <w:r w:rsidRPr="00FD62A0">
              <w:rPr>
                <w:rFonts w:ascii="Arial" w:hAnsi="Arial" w:cs="Arial"/>
                <w:b/>
                <w:sz w:val="22"/>
                <w:szCs w:val="22"/>
              </w:rPr>
              <w:t>...................</w:t>
            </w:r>
            <w:r w:rsidR="00B357DE" w:rsidRPr="00FD62A0">
              <w:rPr>
                <w:rFonts w:ascii="Arial" w:hAnsi="Arial" w:cs="Arial"/>
                <w:b/>
                <w:sz w:val="22"/>
                <w:szCs w:val="22"/>
              </w:rPr>
              <w:t>.................</w:t>
            </w:r>
            <w:r w:rsidR="001D1C9C" w:rsidRPr="00FD62A0">
              <w:rPr>
                <w:rFonts w:ascii="Arial" w:hAnsi="Arial" w:cs="Arial"/>
                <w:b/>
                <w:sz w:val="22"/>
                <w:szCs w:val="22"/>
              </w:rPr>
              <w:t>.</w:t>
            </w:r>
          </w:p>
        </w:tc>
        <w:tc>
          <w:tcPr>
            <w:tcW w:w="483" w:type="dxa"/>
          </w:tcPr>
          <w:p w:rsidR="00FE3E87" w:rsidRPr="00FD62A0" w:rsidRDefault="000620A7" w:rsidP="00BF4427">
            <w:pPr>
              <w:spacing w:line="360" w:lineRule="auto"/>
              <w:jc w:val="center"/>
              <w:rPr>
                <w:rFonts w:ascii="Arial" w:hAnsi="Arial" w:cs="Arial"/>
                <w:sz w:val="22"/>
                <w:szCs w:val="22"/>
              </w:rPr>
            </w:pPr>
            <w:r w:rsidRPr="00FD62A0">
              <w:rPr>
                <w:rFonts w:ascii="Arial" w:hAnsi="Arial" w:cs="Arial"/>
                <w:sz w:val="22"/>
                <w:szCs w:val="22"/>
              </w:rPr>
              <w:t>5</w:t>
            </w:r>
          </w:p>
        </w:tc>
      </w:tr>
      <w:tr w:rsidR="00FE3E87" w:rsidRPr="00FD62A0" w:rsidTr="00D52F9A">
        <w:tc>
          <w:tcPr>
            <w:tcW w:w="8965" w:type="dxa"/>
          </w:tcPr>
          <w:p w:rsidR="00FE3E87" w:rsidRPr="00FD62A0" w:rsidRDefault="00B357DE" w:rsidP="00BF4427">
            <w:pPr>
              <w:spacing w:line="360" w:lineRule="auto"/>
              <w:rPr>
                <w:rFonts w:ascii="Arial" w:hAnsi="Arial" w:cs="Arial"/>
                <w:sz w:val="22"/>
                <w:szCs w:val="22"/>
              </w:rPr>
            </w:pPr>
            <w:r w:rsidRPr="00FD62A0">
              <w:rPr>
                <w:rFonts w:ascii="Arial" w:hAnsi="Arial" w:cs="Arial"/>
                <w:sz w:val="22"/>
                <w:szCs w:val="22"/>
              </w:rPr>
              <w:t xml:space="preserve">1.1. </w:t>
            </w:r>
            <w:r w:rsidR="00FE3E87" w:rsidRPr="00FD62A0">
              <w:rPr>
                <w:rFonts w:ascii="Arial" w:hAnsi="Arial" w:cs="Arial"/>
                <w:sz w:val="22"/>
                <w:szCs w:val="22"/>
              </w:rPr>
              <w:t>Estado Providência</w:t>
            </w:r>
            <w:r w:rsidRPr="00FD62A0">
              <w:rPr>
                <w:rFonts w:ascii="Arial" w:hAnsi="Arial" w:cs="Arial"/>
                <w:sz w:val="22"/>
                <w:szCs w:val="22"/>
              </w:rPr>
              <w:t>............................................................................................</w:t>
            </w:r>
          </w:p>
        </w:tc>
        <w:tc>
          <w:tcPr>
            <w:tcW w:w="483" w:type="dxa"/>
          </w:tcPr>
          <w:p w:rsidR="00FE3E87" w:rsidRPr="00FD62A0" w:rsidRDefault="000620A7" w:rsidP="00BF4427">
            <w:pPr>
              <w:spacing w:line="360" w:lineRule="auto"/>
              <w:jc w:val="center"/>
              <w:rPr>
                <w:rFonts w:ascii="Arial" w:hAnsi="Arial" w:cs="Arial"/>
                <w:sz w:val="22"/>
                <w:szCs w:val="22"/>
              </w:rPr>
            </w:pPr>
            <w:r w:rsidRPr="00FD62A0">
              <w:rPr>
                <w:rFonts w:ascii="Arial" w:hAnsi="Arial" w:cs="Arial"/>
                <w:sz w:val="22"/>
                <w:szCs w:val="22"/>
              </w:rPr>
              <w:t>7</w:t>
            </w:r>
          </w:p>
        </w:tc>
      </w:tr>
      <w:tr w:rsidR="00FE3E87" w:rsidRPr="00FD62A0" w:rsidTr="00D52F9A">
        <w:tc>
          <w:tcPr>
            <w:tcW w:w="8965" w:type="dxa"/>
          </w:tcPr>
          <w:p w:rsidR="00FE3E87" w:rsidRPr="00FD62A0" w:rsidRDefault="00B357DE" w:rsidP="00BF4427">
            <w:pPr>
              <w:spacing w:line="360" w:lineRule="auto"/>
              <w:rPr>
                <w:rFonts w:ascii="Arial" w:hAnsi="Arial" w:cs="Arial"/>
                <w:sz w:val="22"/>
                <w:szCs w:val="22"/>
              </w:rPr>
            </w:pPr>
            <w:r w:rsidRPr="00FD62A0">
              <w:rPr>
                <w:rFonts w:ascii="Arial" w:hAnsi="Arial" w:cs="Arial"/>
                <w:sz w:val="22"/>
                <w:szCs w:val="22"/>
              </w:rPr>
              <w:t xml:space="preserve">1.2. </w:t>
            </w:r>
            <w:r w:rsidR="00FE3E87" w:rsidRPr="00FD62A0">
              <w:rPr>
                <w:rFonts w:ascii="Arial" w:hAnsi="Arial" w:cs="Arial"/>
                <w:sz w:val="22"/>
                <w:szCs w:val="22"/>
              </w:rPr>
              <w:t>A nova Administração Pública</w:t>
            </w:r>
            <w:r w:rsidRPr="00FD62A0">
              <w:rPr>
                <w:rFonts w:ascii="Arial" w:hAnsi="Arial" w:cs="Arial"/>
                <w:sz w:val="22"/>
                <w:szCs w:val="22"/>
              </w:rPr>
              <w:t>............................................................................</w:t>
            </w:r>
          </w:p>
        </w:tc>
        <w:tc>
          <w:tcPr>
            <w:tcW w:w="483" w:type="dxa"/>
          </w:tcPr>
          <w:p w:rsidR="00FE3E87" w:rsidRPr="00FD62A0" w:rsidRDefault="00856A0C" w:rsidP="00BF4427">
            <w:pPr>
              <w:spacing w:line="360" w:lineRule="auto"/>
              <w:jc w:val="center"/>
              <w:rPr>
                <w:rFonts w:ascii="Arial" w:hAnsi="Arial" w:cs="Arial"/>
                <w:sz w:val="22"/>
                <w:szCs w:val="22"/>
              </w:rPr>
            </w:pPr>
            <w:r>
              <w:rPr>
                <w:rFonts w:ascii="Arial" w:hAnsi="Arial" w:cs="Arial"/>
                <w:sz w:val="22"/>
                <w:szCs w:val="22"/>
              </w:rPr>
              <w:t>9</w:t>
            </w:r>
          </w:p>
        </w:tc>
      </w:tr>
      <w:tr w:rsidR="00FE3E87" w:rsidRPr="00FD62A0" w:rsidTr="00D52F9A">
        <w:tc>
          <w:tcPr>
            <w:tcW w:w="8965" w:type="dxa"/>
          </w:tcPr>
          <w:p w:rsidR="00FE3E87" w:rsidRPr="00FD62A0" w:rsidRDefault="00B357DE" w:rsidP="00BF4427">
            <w:pPr>
              <w:spacing w:line="360" w:lineRule="auto"/>
              <w:rPr>
                <w:rFonts w:ascii="Arial" w:hAnsi="Arial" w:cs="Arial"/>
                <w:sz w:val="22"/>
                <w:szCs w:val="22"/>
              </w:rPr>
            </w:pPr>
            <w:r w:rsidRPr="00FD62A0">
              <w:rPr>
                <w:rFonts w:ascii="Arial" w:hAnsi="Arial" w:cs="Arial"/>
                <w:sz w:val="22"/>
                <w:szCs w:val="22"/>
              </w:rPr>
              <w:t xml:space="preserve">1.3. </w:t>
            </w:r>
            <w:r w:rsidR="00FE3E87" w:rsidRPr="00FD62A0">
              <w:rPr>
                <w:rFonts w:ascii="Arial" w:hAnsi="Arial" w:cs="Arial"/>
                <w:sz w:val="22"/>
                <w:szCs w:val="22"/>
              </w:rPr>
              <w:t>A administração pública brasileira – definição e evolução</w:t>
            </w:r>
            <w:r w:rsidRPr="00FD62A0">
              <w:rPr>
                <w:rFonts w:ascii="Arial" w:hAnsi="Arial" w:cs="Arial"/>
                <w:sz w:val="22"/>
                <w:szCs w:val="22"/>
              </w:rPr>
              <w:t>.................................</w:t>
            </w:r>
          </w:p>
        </w:tc>
        <w:tc>
          <w:tcPr>
            <w:tcW w:w="483" w:type="dxa"/>
          </w:tcPr>
          <w:p w:rsidR="00FE3E87" w:rsidRPr="00FD62A0" w:rsidRDefault="00D87631" w:rsidP="00BF4427">
            <w:pPr>
              <w:spacing w:line="360" w:lineRule="auto"/>
              <w:jc w:val="center"/>
              <w:rPr>
                <w:rFonts w:ascii="Arial" w:hAnsi="Arial" w:cs="Arial"/>
                <w:sz w:val="22"/>
                <w:szCs w:val="22"/>
              </w:rPr>
            </w:pPr>
            <w:r w:rsidRPr="00FD62A0">
              <w:rPr>
                <w:rFonts w:ascii="Arial" w:hAnsi="Arial" w:cs="Arial"/>
                <w:sz w:val="22"/>
                <w:szCs w:val="22"/>
              </w:rPr>
              <w:t>1</w:t>
            </w:r>
            <w:r w:rsidR="00404C99">
              <w:rPr>
                <w:rFonts w:ascii="Arial" w:hAnsi="Arial" w:cs="Arial"/>
                <w:sz w:val="22"/>
                <w:szCs w:val="22"/>
              </w:rPr>
              <w:t>6</w:t>
            </w:r>
          </w:p>
        </w:tc>
      </w:tr>
      <w:tr w:rsidR="00FE3E87" w:rsidRPr="00FD62A0" w:rsidTr="00D52F9A">
        <w:tc>
          <w:tcPr>
            <w:tcW w:w="8965" w:type="dxa"/>
          </w:tcPr>
          <w:p w:rsidR="00FE3E87" w:rsidRPr="00FD62A0" w:rsidRDefault="00B357DE" w:rsidP="00BF4427">
            <w:pPr>
              <w:spacing w:line="360" w:lineRule="auto"/>
              <w:jc w:val="both"/>
              <w:rPr>
                <w:rFonts w:ascii="Arial" w:hAnsi="Arial" w:cs="Arial"/>
                <w:sz w:val="22"/>
                <w:szCs w:val="22"/>
              </w:rPr>
            </w:pPr>
            <w:r w:rsidRPr="00FD62A0">
              <w:rPr>
                <w:rFonts w:ascii="Arial" w:hAnsi="Arial" w:cs="Arial"/>
                <w:sz w:val="22"/>
                <w:szCs w:val="22"/>
              </w:rPr>
              <w:t>1.4. Parceria entre os setores público e privado – história e conceitos....................</w:t>
            </w:r>
          </w:p>
        </w:tc>
        <w:tc>
          <w:tcPr>
            <w:tcW w:w="483" w:type="dxa"/>
          </w:tcPr>
          <w:p w:rsidR="00FE3E87" w:rsidRPr="00FD62A0" w:rsidRDefault="00856A0C" w:rsidP="00BF4427">
            <w:pPr>
              <w:spacing w:line="360" w:lineRule="auto"/>
              <w:jc w:val="center"/>
              <w:rPr>
                <w:rFonts w:ascii="Arial" w:hAnsi="Arial" w:cs="Arial"/>
                <w:sz w:val="22"/>
                <w:szCs w:val="22"/>
              </w:rPr>
            </w:pPr>
            <w:r>
              <w:rPr>
                <w:rFonts w:ascii="Arial" w:hAnsi="Arial" w:cs="Arial"/>
                <w:sz w:val="22"/>
                <w:szCs w:val="22"/>
              </w:rPr>
              <w:t>19</w:t>
            </w:r>
          </w:p>
        </w:tc>
      </w:tr>
      <w:tr w:rsidR="00FE3E87" w:rsidRPr="00FD62A0" w:rsidTr="00D52F9A">
        <w:tc>
          <w:tcPr>
            <w:tcW w:w="8965" w:type="dxa"/>
          </w:tcPr>
          <w:p w:rsidR="00FE3E87" w:rsidRPr="00FD62A0" w:rsidRDefault="00B357DE" w:rsidP="00BF4427">
            <w:pPr>
              <w:spacing w:line="360" w:lineRule="auto"/>
              <w:rPr>
                <w:rFonts w:ascii="Arial" w:hAnsi="Arial" w:cs="Arial"/>
                <w:sz w:val="22"/>
                <w:szCs w:val="22"/>
              </w:rPr>
            </w:pPr>
            <w:r w:rsidRPr="00FD62A0">
              <w:rPr>
                <w:rFonts w:ascii="Arial" w:hAnsi="Arial" w:cs="Arial"/>
                <w:sz w:val="22"/>
                <w:szCs w:val="22"/>
              </w:rPr>
              <w:t xml:space="preserve">1.5. Exploração sexual, Projeto </w:t>
            </w:r>
            <w:r w:rsidR="00C02187" w:rsidRPr="00FD62A0">
              <w:rPr>
                <w:rFonts w:ascii="Arial" w:hAnsi="Arial" w:cs="Arial"/>
                <w:sz w:val="22"/>
                <w:szCs w:val="22"/>
              </w:rPr>
              <w:t>ViraVida</w:t>
            </w:r>
            <w:r w:rsidRPr="00FD62A0">
              <w:rPr>
                <w:rFonts w:ascii="Arial" w:hAnsi="Arial" w:cs="Arial"/>
                <w:sz w:val="22"/>
                <w:szCs w:val="22"/>
              </w:rPr>
              <w:t xml:space="preserve"> e Programa Turismo sustentável e infância – breves considerações...............................................................................</w:t>
            </w:r>
          </w:p>
        </w:tc>
        <w:tc>
          <w:tcPr>
            <w:tcW w:w="483" w:type="dxa"/>
          </w:tcPr>
          <w:p w:rsidR="00FE3E87" w:rsidRPr="00FD62A0" w:rsidRDefault="00D87631" w:rsidP="00BF4427">
            <w:pPr>
              <w:spacing w:line="360" w:lineRule="auto"/>
              <w:jc w:val="center"/>
              <w:rPr>
                <w:rFonts w:ascii="Arial" w:hAnsi="Arial" w:cs="Arial"/>
                <w:sz w:val="22"/>
                <w:szCs w:val="22"/>
              </w:rPr>
            </w:pPr>
            <w:r w:rsidRPr="00FD62A0">
              <w:rPr>
                <w:rFonts w:ascii="Arial" w:hAnsi="Arial" w:cs="Arial"/>
                <w:sz w:val="22"/>
                <w:szCs w:val="22"/>
              </w:rPr>
              <w:t>2</w:t>
            </w:r>
            <w:r w:rsidR="00404C99">
              <w:rPr>
                <w:rFonts w:ascii="Arial" w:hAnsi="Arial" w:cs="Arial"/>
                <w:sz w:val="22"/>
                <w:szCs w:val="22"/>
              </w:rPr>
              <w:t>2</w:t>
            </w:r>
          </w:p>
        </w:tc>
      </w:tr>
      <w:tr w:rsidR="00B357DE" w:rsidRPr="00FD62A0" w:rsidTr="00D52F9A">
        <w:tc>
          <w:tcPr>
            <w:tcW w:w="8965" w:type="dxa"/>
          </w:tcPr>
          <w:p w:rsidR="00B357DE" w:rsidRPr="00FD62A0" w:rsidRDefault="00A56719" w:rsidP="00707618">
            <w:pPr>
              <w:widowControl w:val="0"/>
              <w:tabs>
                <w:tab w:val="left" w:pos="0"/>
              </w:tabs>
              <w:autoSpaceDE w:val="0"/>
              <w:autoSpaceDN w:val="0"/>
              <w:adjustRightInd w:val="0"/>
              <w:spacing w:line="360" w:lineRule="auto"/>
              <w:rPr>
                <w:rFonts w:ascii="Arial" w:hAnsi="Arial" w:cs="Arial"/>
                <w:sz w:val="22"/>
                <w:szCs w:val="22"/>
              </w:rPr>
            </w:pPr>
            <w:r w:rsidRPr="00FD62A0">
              <w:rPr>
                <w:rFonts w:ascii="Arial" w:hAnsi="Arial" w:cs="Arial"/>
                <w:b/>
                <w:bCs/>
                <w:sz w:val="22"/>
                <w:szCs w:val="22"/>
              </w:rPr>
              <w:t>CAPÍTULO II: P</w:t>
            </w:r>
            <w:r w:rsidR="00707618" w:rsidRPr="00FD62A0">
              <w:rPr>
                <w:rFonts w:ascii="Arial" w:hAnsi="Arial" w:cs="Arial"/>
                <w:b/>
                <w:bCs/>
                <w:sz w:val="22"/>
                <w:szCs w:val="22"/>
              </w:rPr>
              <w:t>ARCERIAS PÚBLICO-PRIVADAS</w:t>
            </w:r>
            <w:r w:rsidRPr="00FD62A0">
              <w:rPr>
                <w:rFonts w:ascii="Arial" w:hAnsi="Arial" w:cs="Arial"/>
                <w:b/>
                <w:bCs/>
                <w:sz w:val="22"/>
                <w:szCs w:val="22"/>
              </w:rPr>
              <w:t>.................................................</w:t>
            </w:r>
          </w:p>
        </w:tc>
        <w:tc>
          <w:tcPr>
            <w:tcW w:w="483" w:type="dxa"/>
          </w:tcPr>
          <w:p w:rsidR="00B357DE" w:rsidRPr="00FD62A0" w:rsidRDefault="00404C99" w:rsidP="006217F6">
            <w:pPr>
              <w:spacing w:line="360" w:lineRule="auto"/>
              <w:jc w:val="center"/>
              <w:rPr>
                <w:rFonts w:ascii="Arial" w:hAnsi="Arial" w:cs="Arial"/>
                <w:sz w:val="22"/>
                <w:szCs w:val="22"/>
              </w:rPr>
            </w:pPr>
            <w:r>
              <w:rPr>
                <w:rFonts w:ascii="Arial" w:hAnsi="Arial" w:cs="Arial"/>
                <w:sz w:val="22"/>
                <w:szCs w:val="22"/>
              </w:rPr>
              <w:t>2</w:t>
            </w:r>
            <w:r w:rsidR="006217F6">
              <w:rPr>
                <w:rFonts w:ascii="Arial" w:hAnsi="Arial" w:cs="Arial"/>
                <w:sz w:val="22"/>
                <w:szCs w:val="22"/>
              </w:rPr>
              <w:t>5</w:t>
            </w:r>
          </w:p>
        </w:tc>
      </w:tr>
      <w:tr w:rsidR="00A56719" w:rsidRPr="00FD62A0" w:rsidTr="00D52F9A">
        <w:tc>
          <w:tcPr>
            <w:tcW w:w="8965" w:type="dxa"/>
          </w:tcPr>
          <w:p w:rsidR="00A56719" w:rsidRPr="00FD62A0" w:rsidRDefault="00A56719" w:rsidP="00BF4427">
            <w:pPr>
              <w:widowControl w:val="0"/>
              <w:autoSpaceDE w:val="0"/>
              <w:autoSpaceDN w:val="0"/>
              <w:adjustRightInd w:val="0"/>
              <w:spacing w:line="360" w:lineRule="auto"/>
              <w:jc w:val="both"/>
              <w:rPr>
                <w:rFonts w:ascii="Arial" w:hAnsi="Arial" w:cs="Arial"/>
                <w:iCs/>
                <w:sz w:val="22"/>
                <w:szCs w:val="22"/>
              </w:rPr>
            </w:pPr>
            <w:r w:rsidRPr="00FD62A0">
              <w:rPr>
                <w:rFonts w:ascii="Arial" w:hAnsi="Arial" w:cs="Arial"/>
                <w:iCs/>
                <w:sz w:val="22"/>
                <w:szCs w:val="22"/>
              </w:rPr>
              <w:t>2.1. Contexto das parcerias público-privadas no Brasil e no mundo........................</w:t>
            </w:r>
          </w:p>
        </w:tc>
        <w:tc>
          <w:tcPr>
            <w:tcW w:w="483" w:type="dxa"/>
          </w:tcPr>
          <w:p w:rsidR="00A56719" w:rsidRPr="00FD62A0" w:rsidRDefault="008D202B" w:rsidP="006217F6">
            <w:pPr>
              <w:spacing w:line="360" w:lineRule="auto"/>
              <w:jc w:val="center"/>
              <w:rPr>
                <w:rFonts w:ascii="Arial" w:hAnsi="Arial" w:cs="Arial"/>
                <w:sz w:val="22"/>
                <w:szCs w:val="22"/>
              </w:rPr>
            </w:pPr>
            <w:r w:rsidRPr="00FD62A0">
              <w:rPr>
                <w:rFonts w:ascii="Arial" w:hAnsi="Arial" w:cs="Arial"/>
                <w:sz w:val="22"/>
                <w:szCs w:val="22"/>
              </w:rPr>
              <w:t>3</w:t>
            </w:r>
            <w:r w:rsidR="006217F6">
              <w:rPr>
                <w:rFonts w:ascii="Arial" w:hAnsi="Arial" w:cs="Arial"/>
                <w:sz w:val="22"/>
                <w:szCs w:val="22"/>
              </w:rPr>
              <w:t>1</w:t>
            </w:r>
          </w:p>
        </w:tc>
      </w:tr>
      <w:tr w:rsidR="00A56719" w:rsidRPr="00FD62A0" w:rsidTr="00D52F9A">
        <w:tc>
          <w:tcPr>
            <w:tcW w:w="8965" w:type="dxa"/>
          </w:tcPr>
          <w:p w:rsidR="00A56719" w:rsidRPr="00FD62A0" w:rsidRDefault="00A56719" w:rsidP="00BF4427">
            <w:pPr>
              <w:widowControl w:val="0"/>
              <w:autoSpaceDE w:val="0"/>
              <w:autoSpaceDN w:val="0"/>
              <w:adjustRightInd w:val="0"/>
              <w:spacing w:line="360" w:lineRule="auto"/>
              <w:jc w:val="both"/>
              <w:rPr>
                <w:rFonts w:ascii="Arial" w:hAnsi="Arial" w:cs="Arial"/>
                <w:iCs/>
                <w:sz w:val="22"/>
                <w:szCs w:val="22"/>
              </w:rPr>
            </w:pPr>
            <w:r w:rsidRPr="00FD62A0">
              <w:rPr>
                <w:rFonts w:ascii="Arial" w:hAnsi="Arial" w:cs="Arial"/>
                <w:iCs/>
                <w:sz w:val="22"/>
                <w:szCs w:val="22"/>
              </w:rPr>
              <w:t>2.2. As Parcerias Público-Privadas no Brasil............................................................</w:t>
            </w:r>
          </w:p>
        </w:tc>
        <w:tc>
          <w:tcPr>
            <w:tcW w:w="483" w:type="dxa"/>
          </w:tcPr>
          <w:p w:rsidR="00A56719" w:rsidRPr="00FD62A0" w:rsidRDefault="008D202B" w:rsidP="006217F6">
            <w:pPr>
              <w:spacing w:line="360" w:lineRule="auto"/>
              <w:jc w:val="center"/>
              <w:rPr>
                <w:rFonts w:ascii="Arial" w:hAnsi="Arial" w:cs="Arial"/>
                <w:sz w:val="22"/>
                <w:szCs w:val="22"/>
              </w:rPr>
            </w:pPr>
            <w:r w:rsidRPr="00FD62A0">
              <w:rPr>
                <w:rFonts w:ascii="Arial" w:hAnsi="Arial" w:cs="Arial"/>
                <w:sz w:val="22"/>
                <w:szCs w:val="22"/>
              </w:rPr>
              <w:t>3</w:t>
            </w:r>
            <w:r w:rsidR="006217F6">
              <w:rPr>
                <w:rFonts w:ascii="Arial" w:hAnsi="Arial" w:cs="Arial"/>
                <w:sz w:val="22"/>
                <w:szCs w:val="22"/>
              </w:rPr>
              <w:t>2</w:t>
            </w:r>
          </w:p>
        </w:tc>
      </w:tr>
      <w:tr w:rsidR="00A56719" w:rsidRPr="00FD62A0" w:rsidTr="00D52F9A">
        <w:tc>
          <w:tcPr>
            <w:tcW w:w="8965" w:type="dxa"/>
          </w:tcPr>
          <w:p w:rsidR="00A56719" w:rsidRPr="00FD62A0" w:rsidRDefault="00A56719" w:rsidP="00BF4427">
            <w:pPr>
              <w:widowControl w:val="0"/>
              <w:autoSpaceDE w:val="0"/>
              <w:autoSpaceDN w:val="0"/>
              <w:adjustRightInd w:val="0"/>
              <w:spacing w:line="360" w:lineRule="auto"/>
              <w:rPr>
                <w:rFonts w:ascii="Arial" w:hAnsi="Arial" w:cs="Arial"/>
                <w:iCs/>
                <w:sz w:val="22"/>
                <w:szCs w:val="22"/>
              </w:rPr>
            </w:pPr>
            <w:r w:rsidRPr="00FD62A0">
              <w:rPr>
                <w:rFonts w:ascii="Arial" w:hAnsi="Arial" w:cs="Arial"/>
                <w:iCs/>
                <w:sz w:val="22"/>
                <w:szCs w:val="22"/>
              </w:rPr>
              <w:t>2.3. O sistema S........................................................................................................</w:t>
            </w:r>
          </w:p>
        </w:tc>
        <w:tc>
          <w:tcPr>
            <w:tcW w:w="483" w:type="dxa"/>
          </w:tcPr>
          <w:p w:rsidR="00A56719" w:rsidRPr="00FD62A0" w:rsidRDefault="00404C99" w:rsidP="006217F6">
            <w:pPr>
              <w:spacing w:line="360" w:lineRule="auto"/>
              <w:jc w:val="center"/>
              <w:rPr>
                <w:rFonts w:ascii="Arial" w:hAnsi="Arial" w:cs="Arial"/>
                <w:sz w:val="22"/>
                <w:szCs w:val="22"/>
              </w:rPr>
            </w:pPr>
            <w:r>
              <w:rPr>
                <w:rFonts w:ascii="Arial" w:hAnsi="Arial" w:cs="Arial"/>
                <w:sz w:val="22"/>
                <w:szCs w:val="22"/>
              </w:rPr>
              <w:t>3</w:t>
            </w:r>
            <w:r w:rsidR="006217F6">
              <w:rPr>
                <w:rFonts w:ascii="Arial" w:hAnsi="Arial" w:cs="Arial"/>
                <w:sz w:val="22"/>
                <w:szCs w:val="22"/>
              </w:rPr>
              <w:t>4</w:t>
            </w:r>
          </w:p>
        </w:tc>
      </w:tr>
      <w:tr w:rsidR="00A56719" w:rsidRPr="00FD62A0" w:rsidTr="00D52F9A">
        <w:tc>
          <w:tcPr>
            <w:tcW w:w="8965" w:type="dxa"/>
          </w:tcPr>
          <w:p w:rsidR="00A56719" w:rsidRPr="00FD62A0" w:rsidRDefault="00A56719" w:rsidP="00BF4427">
            <w:pPr>
              <w:widowControl w:val="0"/>
              <w:tabs>
                <w:tab w:val="left" w:pos="1575"/>
              </w:tabs>
              <w:autoSpaceDE w:val="0"/>
              <w:autoSpaceDN w:val="0"/>
              <w:adjustRightInd w:val="0"/>
              <w:spacing w:line="360" w:lineRule="auto"/>
              <w:ind w:left="540"/>
              <w:jc w:val="both"/>
              <w:rPr>
                <w:rFonts w:ascii="Arial" w:hAnsi="Arial" w:cs="Arial"/>
                <w:iCs/>
                <w:sz w:val="22"/>
                <w:szCs w:val="22"/>
              </w:rPr>
            </w:pPr>
            <w:r w:rsidRPr="00FD62A0">
              <w:rPr>
                <w:rFonts w:ascii="Arial" w:hAnsi="Arial" w:cs="Arial"/>
                <w:iCs/>
                <w:sz w:val="22"/>
                <w:szCs w:val="22"/>
              </w:rPr>
              <w:t xml:space="preserve">2.3.1. Serviço Social da Indústria – </w:t>
            </w:r>
            <w:r w:rsidR="002A1169" w:rsidRPr="00FD62A0">
              <w:rPr>
                <w:rFonts w:ascii="Arial" w:hAnsi="Arial" w:cs="Arial"/>
                <w:iCs/>
                <w:sz w:val="22"/>
                <w:szCs w:val="22"/>
              </w:rPr>
              <w:t>SESI</w:t>
            </w:r>
            <w:r w:rsidR="00A37594" w:rsidRPr="00FD62A0">
              <w:rPr>
                <w:rFonts w:ascii="Arial" w:hAnsi="Arial" w:cs="Arial"/>
                <w:iCs/>
                <w:sz w:val="22"/>
                <w:szCs w:val="22"/>
              </w:rPr>
              <w:t>....................</w:t>
            </w:r>
            <w:r w:rsidRPr="00FD62A0">
              <w:rPr>
                <w:rFonts w:ascii="Arial" w:hAnsi="Arial" w:cs="Arial"/>
                <w:iCs/>
                <w:sz w:val="22"/>
                <w:szCs w:val="22"/>
              </w:rPr>
              <w:t>......................................</w:t>
            </w:r>
          </w:p>
        </w:tc>
        <w:tc>
          <w:tcPr>
            <w:tcW w:w="483" w:type="dxa"/>
          </w:tcPr>
          <w:p w:rsidR="00A56719" w:rsidRPr="00FD62A0" w:rsidRDefault="00404C99" w:rsidP="006217F6">
            <w:pPr>
              <w:spacing w:line="360" w:lineRule="auto"/>
              <w:jc w:val="center"/>
              <w:rPr>
                <w:rFonts w:ascii="Arial" w:hAnsi="Arial" w:cs="Arial"/>
                <w:sz w:val="22"/>
                <w:szCs w:val="22"/>
              </w:rPr>
            </w:pPr>
            <w:r>
              <w:rPr>
                <w:rFonts w:ascii="Arial" w:hAnsi="Arial" w:cs="Arial"/>
                <w:sz w:val="22"/>
                <w:szCs w:val="22"/>
              </w:rPr>
              <w:t>3</w:t>
            </w:r>
            <w:r w:rsidR="006217F6">
              <w:rPr>
                <w:rFonts w:ascii="Arial" w:hAnsi="Arial" w:cs="Arial"/>
                <w:sz w:val="22"/>
                <w:szCs w:val="22"/>
              </w:rPr>
              <w:t>5</w:t>
            </w:r>
          </w:p>
        </w:tc>
      </w:tr>
      <w:tr w:rsidR="00A56719" w:rsidRPr="00FD62A0" w:rsidTr="00D52F9A">
        <w:tc>
          <w:tcPr>
            <w:tcW w:w="8965" w:type="dxa"/>
          </w:tcPr>
          <w:p w:rsidR="00A56719" w:rsidRPr="00FD62A0" w:rsidRDefault="00A56719" w:rsidP="00BF4427">
            <w:pPr>
              <w:widowControl w:val="0"/>
              <w:tabs>
                <w:tab w:val="left" w:pos="1575"/>
              </w:tabs>
              <w:autoSpaceDE w:val="0"/>
              <w:autoSpaceDN w:val="0"/>
              <w:adjustRightInd w:val="0"/>
              <w:spacing w:line="360" w:lineRule="auto"/>
              <w:ind w:left="540"/>
              <w:jc w:val="both"/>
              <w:rPr>
                <w:rFonts w:ascii="Arial" w:hAnsi="Arial" w:cs="Arial"/>
                <w:iCs/>
                <w:sz w:val="22"/>
                <w:szCs w:val="22"/>
              </w:rPr>
            </w:pPr>
            <w:r w:rsidRPr="00FD62A0">
              <w:rPr>
                <w:rFonts w:ascii="Arial" w:hAnsi="Arial" w:cs="Arial"/>
                <w:iCs/>
                <w:sz w:val="22"/>
                <w:szCs w:val="22"/>
              </w:rPr>
              <w:t xml:space="preserve">2.3.2. Serviço Social do Comércio – </w:t>
            </w:r>
            <w:r w:rsidR="002A1169" w:rsidRPr="00FD62A0">
              <w:rPr>
                <w:rFonts w:ascii="Arial" w:hAnsi="Arial" w:cs="Arial"/>
                <w:iCs/>
                <w:sz w:val="22"/>
                <w:szCs w:val="22"/>
              </w:rPr>
              <w:t>SESC</w:t>
            </w:r>
            <w:r w:rsidR="0092603B" w:rsidRPr="00FD62A0">
              <w:rPr>
                <w:rFonts w:ascii="Arial" w:hAnsi="Arial" w:cs="Arial"/>
                <w:iCs/>
                <w:sz w:val="22"/>
                <w:szCs w:val="22"/>
              </w:rPr>
              <w:t>.....................</w:t>
            </w:r>
            <w:r w:rsidR="00A37594" w:rsidRPr="00FD62A0">
              <w:rPr>
                <w:rFonts w:ascii="Arial" w:hAnsi="Arial" w:cs="Arial"/>
                <w:iCs/>
                <w:sz w:val="22"/>
                <w:szCs w:val="22"/>
              </w:rPr>
              <w:t>.......................</w:t>
            </w:r>
            <w:r w:rsidRPr="00FD62A0">
              <w:rPr>
                <w:rFonts w:ascii="Arial" w:hAnsi="Arial" w:cs="Arial"/>
                <w:iCs/>
                <w:sz w:val="22"/>
                <w:szCs w:val="22"/>
              </w:rPr>
              <w:t>...........</w:t>
            </w:r>
          </w:p>
        </w:tc>
        <w:tc>
          <w:tcPr>
            <w:tcW w:w="483" w:type="dxa"/>
          </w:tcPr>
          <w:p w:rsidR="00A56719" w:rsidRPr="00FD62A0" w:rsidRDefault="00404C99" w:rsidP="006217F6">
            <w:pPr>
              <w:spacing w:line="360" w:lineRule="auto"/>
              <w:jc w:val="center"/>
              <w:rPr>
                <w:rFonts w:ascii="Arial" w:hAnsi="Arial" w:cs="Arial"/>
                <w:sz w:val="22"/>
                <w:szCs w:val="22"/>
              </w:rPr>
            </w:pPr>
            <w:r>
              <w:rPr>
                <w:rFonts w:ascii="Arial" w:hAnsi="Arial" w:cs="Arial"/>
                <w:sz w:val="22"/>
                <w:szCs w:val="22"/>
              </w:rPr>
              <w:t>3</w:t>
            </w:r>
            <w:r w:rsidR="006217F6">
              <w:rPr>
                <w:rFonts w:ascii="Arial" w:hAnsi="Arial" w:cs="Arial"/>
                <w:sz w:val="22"/>
                <w:szCs w:val="22"/>
              </w:rPr>
              <w:t>6</w:t>
            </w:r>
          </w:p>
        </w:tc>
      </w:tr>
      <w:tr w:rsidR="00A56719" w:rsidRPr="00FD62A0" w:rsidTr="00D52F9A">
        <w:tc>
          <w:tcPr>
            <w:tcW w:w="8965" w:type="dxa"/>
          </w:tcPr>
          <w:p w:rsidR="00A56719" w:rsidRPr="00FD62A0" w:rsidRDefault="00A56719" w:rsidP="00BF4427">
            <w:pPr>
              <w:widowControl w:val="0"/>
              <w:tabs>
                <w:tab w:val="left" w:pos="0"/>
              </w:tabs>
              <w:autoSpaceDE w:val="0"/>
              <w:autoSpaceDN w:val="0"/>
              <w:adjustRightInd w:val="0"/>
              <w:spacing w:line="360" w:lineRule="auto"/>
              <w:ind w:left="540"/>
              <w:jc w:val="both"/>
              <w:rPr>
                <w:rFonts w:ascii="Arial" w:hAnsi="Arial" w:cs="Arial"/>
                <w:iCs/>
                <w:sz w:val="22"/>
                <w:szCs w:val="22"/>
              </w:rPr>
            </w:pPr>
            <w:r w:rsidRPr="00FD62A0">
              <w:rPr>
                <w:rFonts w:ascii="Arial" w:hAnsi="Arial" w:cs="Arial"/>
                <w:iCs/>
                <w:sz w:val="22"/>
                <w:szCs w:val="22"/>
              </w:rPr>
              <w:t xml:space="preserve">2.3.3. Serviço Nacional de Aprendizagem Industrial – </w:t>
            </w:r>
            <w:r w:rsidR="002A1169" w:rsidRPr="00FD62A0">
              <w:rPr>
                <w:rFonts w:ascii="Arial" w:hAnsi="Arial" w:cs="Arial"/>
                <w:iCs/>
                <w:sz w:val="22"/>
                <w:szCs w:val="22"/>
              </w:rPr>
              <w:t>SENAI</w:t>
            </w:r>
            <w:r w:rsidR="00A37594" w:rsidRPr="00FD62A0">
              <w:rPr>
                <w:rFonts w:ascii="Arial" w:hAnsi="Arial" w:cs="Arial"/>
                <w:iCs/>
                <w:sz w:val="22"/>
                <w:szCs w:val="22"/>
              </w:rPr>
              <w:t>..........</w:t>
            </w:r>
            <w:r w:rsidR="0092603B" w:rsidRPr="00FD62A0">
              <w:rPr>
                <w:rFonts w:ascii="Arial" w:hAnsi="Arial" w:cs="Arial"/>
                <w:iCs/>
                <w:sz w:val="22"/>
                <w:szCs w:val="22"/>
              </w:rPr>
              <w:t>..........</w:t>
            </w:r>
            <w:r w:rsidRPr="00FD62A0">
              <w:rPr>
                <w:rFonts w:ascii="Arial" w:hAnsi="Arial" w:cs="Arial"/>
                <w:iCs/>
                <w:sz w:val="22"/>
                <w:szCs w:val="22"/>
              </w:rPr>
              <w:t>......</w:t>
            </w:r>
          </w:p>
        </w:tc>
        <w:tc>
          <w:tcPr>
            <w:tcW w:w="483" w:type="dxa"/>
          </w:tcPr>
          <w:p w:rsidR="00A56719" w:rsidRPr="00FD62A0" w:rsidRDefault="00404C99" w:rsidP="006217F6">
            <w:pPr>
              <w:spacing w:line="360" w:lineRule="auto"/>
              <w:jc w:val="center"/>
              <w:rPr>
                <w:rFonts w:ascii="Arial" w:hAnsi="Arial" w:cs="Arial"/>
                <w:sz w:val="22"/>
                <w:szCs w:val="22"/>
              </w:rPr>
            </w:pPr>
            <w:r>
              <w:rPr>
                <w:rFonts w:ascii="Arial" w:hAnsi="Arial" w:cs="Arial"/>
                <w:sz w:val="22"/>
                <w:szCs w:val="22"/>
              </w:rPr>
              <w:t>3</w:t>
            </w:r>
            <w:r w:rsidR="006217F6">
              <w:rPr>
                <w:rFonts w:ascii="Arial" w:hAnsi="Arial" w:cs="Arial"/>
                <w:sz w:val="22"/>
                <w:szCs w:val="22"/>
              </w:rPr>
              <w:t>7</w:t>
            </w:r>
          </w:p>
        </w:tc>
      </w:tr>
      <w:tr w:rsidR="00A56719" w:rsidRPr="00FD62A0" w:rsidTr="00D52F9A">
        <w:tc>
          <w:tcPr>
            <w:tcW w:w="8965" w:type="dxa"/>
          </w:tcPr>
          <w:p w:rsidR="00A56719" w:rsidRPr="00FD62A0" w:rsidRDefault="00A56719" w:rsidP="00BF4427">
            <w:pPr>
              <w:widowControl w:val="0"/>
              <w:tabs>
                <w:tab w:val="left" w:pos="0"/>
              </w:tabs>
              <w:autoSpaceDE w:val="0"/>
              <w:autoSpaceDN w:val="0"/>
              <w:adjustRightInd w:val="0"/>
              <w:spacing w:line="360" w:lineRule="auto"/>
              <w:ind w:left="540"/>
              <w:jc w:val="both"/>
              <w:rPr>
                <w:rFonts w:ascii="Arial" w:hAnsi="Arial" w:cs="Arial"/>
                <w:sz w:val="22"/>
                <w:szCs w:val="22"/>
              </w:rPr>
            </w:pPr>
            <w:r w:rsidRPr="00FD62A0">
              <w:rPr>
                <w:rFonts w:ascii="Arial" w:hAnsi="Arial" w:cs="Arial"/>
                <w:sz w:val="22"/>
                <w:szCs w:val="22"/>
              </w:rPr>
              <w:t>2.3.4. Serviço Nacional de Aprendizagem Comerc</w:t>
            </w:r>
            <w:r w:rsidR="0092603B" w:rsidRPr="00FD62A0">
              <w:rPr>
                <w:rFonts w:ascii="Arial" w:hAnsi="Arial" w:cs="Arial"/>
                <w:sz w:val="22"/>
                <w:szCs w:val="22"/>
              </w:rPr>
              <w:t xml:space="preserve">ial – </w:t>
            </w:r>
            <w:r w:rsidR="002A1169" w:rsidRPr="00FD62A0">
              <w:rPr>
                <w:rFonts w:ascii="Arial" w:hAnsi="Arial" w:cs="Arial"/>
                <w:sz w:val="22"/>
                <w:szCs w:val="22"/>
              </w:rPr>
              <w:t>SENAC</w:t>
            </w:r>
            <w:r w:rsidR="00A37594" w:rsidRPr="00FD62A0">
              <w:rPr>
                <w:rFonts w:ascii="Arial" w:hAnsi="Arial" w:cs="Arial"/>
                <w:sz w:val="22"/>
                <w:szCs w:val="22"/>
              </w:rPr>
              <w:t>.....</w:t>
            </w:r>
            <w:r w:rsidR="0092603B" w:rsidRPr="00FD62A0">
              <w:rPr>
                <w:rFonts w:ascii="Arial" w:hAnsi="Arial" w:cs="Arial"/>
                <w:sz w:val="22"/>
                <w:szCs w:val="22"/>
              </w:rPr>
              <w:t>......</w:t>
            </w:r>
            <w:r w:rsidRPr="00FD62A0">
              <w:rPr>
                <w:rFonts w:ascii="Arial" w:hAnsi="Arial" w:cs="Arial"/>
                <w:sz w:val="22"/>
                <w:szCs w:val="22"/>
              </w:rPr>
              <w:t>............</w:t>
            </w:r>
          </w:p>
        </w:tc>
        <w:tc>
          <w:tcPr>
            <w:tcW w:w="483" w:type="dxa"/>
          </w:tcPr>
          <w:p w:rsidR="00A56719" w:rsidRPr="00FD62A0" w:rsidRDefault="00404C99" w:rsidP="006217F6">
            <w:pPr>
              <w:spacing w:line="360" w:lineRule="auto"/>
              <w:jc w:val="center"/>
              <w:rPr>
                <w:rFonts w:ascii="Arial" w:hAnsi="Arial" w:cs="Arial"/>
                <w:sz w:val="22"/>
                <w:szCs w:val="22"/>
              </w:rPr>
            </w:pPr>
            <w:r>
              <w:rPr>
                <w:rFonts w:ascii="Arial" w:hAnsi="Arial" w:cs="Arial"/>
                <w:sz w:val="22"/>
                <w:szCs w:val="22"/>
              </w:rPr>
              <w:t>3</w:t>
            </w:r>
            <w:r w:rsidR="006217F6">
              <w:rPr>
                <w:rFonts w:ascii="Arial" w:hAnsi="Arial" w:cs="Arial"/>
                <w:sz w:val="22"/>
                <w:szCs w:val="22"/>
              </w:rPr>
              <w:t>8</w:t>
            </w:r>
          </w:p>
        </w:tc>
      </w:tr>
      <w:tr w:rsidR="00A56719" w:rsidRPr="00FD62A0" w:rsidTr="00D52F9A">
        <w:tc>
          <w:tcPr>
            <w:tcW w:w="8965" w:type="dxa"/>
          </w:tcPr>
          <w:p w:rsidR="00A56719" w:rsidRPr="00FD62A0" w:rsidRDefault="00A56719"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iCs/>
                <w:sz w:val="22"/>
                <w:szCs w:val="22"/>
              </w:rPr>
              <w:t>2.4. Ministério do Turismo.........................................................................................</w:t>
            </w:r>
          </w:p>
        </w:tc>
        <w:tc>
          <w:tcPr>
            <w:tcW w:w="483" w:type="dxa"/>
          </w:tcPr>
          <w:p w:rsidR="00A56719" w:rsidRPr="00FD62A0" w:rsidRDefault="006217F6" w:rsidP="00BF4427">
            <w:pPr>
              <w:spacing w:line="360" w:lineRule="auto"/>
              <w:jc w:val="center"/>
              <w:rPr>
                <w:rFonts w:ascii="Arial" w:hAnsi="Arial" w:cs="Arial"/>
                <w:sz w:val="22"/>
                <w:szCs w:val="22"/>
              </w:rPr>
            </w:pPr>
            <w:r>
              <w:rPr>
                <w:rFonts w:ascii="Arial" w:hAnsi="Arial" w:cs="Arial"/>
                <w:sz w:val="22"/>
                <w:szCs w:val="22"/>
              </w:rPr>
              <w:t>39</w:t>
            </w:r>
          </w:p>
        </w:tc>
      </w:tr>
      <w:tr w:rsidR="00E713CE" w:rsidRPr="00FD62A0" w:rsidTr="00D52F9A">
        <w:tc>
          <w:tcPr>
            <w:tcW w:w="8965" w:type="dxa"/>
          </w:tcPr>
          <w:p w:rsidR="00E713CE" w:rsidRPr="00FD62A0" w:rsidRDefault="00A1033C" w:rsidP="00707618">
            <w:pPr>
              <w:spacing w:line="360" w:lineRule="auto"/>
              <w:jc w:val="both"/>
              <w:rPr>
                <w:rFonts w:ascii="Arial" w:hAnsi="Arial" w:cs="Arial"/>
                <w:b/>
                <w:sz w:val="22"/>
                <w:szCs w:val="22"/>
              </w:rPr>
            </w:pPr>
            <w:r w:rsidRPr="00FD62A0">
              <w:rPr>
                <w:rFonts w:ascii="Arial" w:hAnsi="Arial" w:cs="Arial"/>
                <w:b/>
                <w:sz w:val="22"/>
                <w:szCs w:val="22"/>
              </w:rPr>
              <w:t xml:space="preserve">CAPÍTULO III </w:t>
            </w:r>
            <w:r w:rsidR="00707618" w:rsidRPr="00FD62A0">
              <w:rPr>
                <w:rFonts w:ascii="Arial" w:hAnsi="Arial" w:cs="Arial"/>
                <w:b/>
                <w:sz w:val="22"/>
                <w:szCs w:val="22"/>
              </w:rPr>
              <w:t>–</w:t>
            </w:r>
            <w:r w:rsidRPr="00FD62A0">
              <w:rPr>
                <w:rFonts w:ascii="Arial" w:hAnsi="Arial" w:cs="Arial"/>
                <w:b/>
                <w:sz w:val="22"/>
                <w:szCs w:val="22"/>
              </w:rPr>
              <w:t xml:space="preserve"> </w:t>
            </w:r>
            <w:r w:rsidR="00707618" w:rsidRPr="00FD62A0">
              <w:rPr>
                <w:rFonts w:ascii="Arial" w:hAnsi="Arial" w:cs="Arial"/>
                <w:b/>
                <w:sz w:val="22"/>
                <w:szCs w:val="22"/>
              </w:rPr>
              <w:t xml:space="preserve">VIOLÊNCIA SEXUAL </w:t>
            </w:r>
            <w:r w:rsidR="00A85E06">
              <w:rPr>
                <w:rFonts w:ascii="Arial" w:hAnsi="Arial" w:cs="Arial"/>
                <w:b/>
                <w:sz w:val="22"/>
                <w:szCs w:val="22"/>
              </w:rPr>
              <w:t>INFANTOJUVENIL</w:t>
            </w:r>
            <w:r w:rsidR="00707618" w:rsidRPr="00FD62A0">
              <w:rPr>
                <w:rFonts w:ascii="Arial" w:hAnsi="Arial" w:cs="Arial"/>
                <w:b/>
                <w:sz w:val="22"/>
                <w:szCs w:val="22"/>
              </w:rPr>
              <w:t>: REALIDADE E INICIATIVAS PARA MUDANÇAS..</w:t>
            </w:r>
            <w:r w:rsidR="00711D49" w:rsidRPr="00FD62A0">
              <w:rPr>
                <w:rFonts w:ascii="Arial" w:hAnsi="Arial" w:cs="Arial"/>
                <w:b/>
                <w:sz w:val="22"/>
                <w:szCs w:val="22"/>
              </w:rPr>
              <w:t>..........................................................................</w:t>
            </w:r>
          </w:p>
        </w:tc>
        <w:tc>
          <w:tcPr>
            <w:tcW w:w="483" w:type="dxa"/>
            <w:vAlign w:val="bottom"/>
          </w:tcPr>
          <w:p w:rsidR="00E713CE" w:rsidRPr="00FD62A0" w:rsidRDefault="00404C99" w:rsidP="006217F6">
            <w:pPr>
              <w:spacing w:line="360" w:lineRule="auto"/>
              <w:jc w:val="center"/>
              <w:rPr>
                <w:rFonts w:ascii="Arial" w:hAnsi="Arial" w:cs="Arial"/>
                <w:sz w:val="22"/>
                <w:szCs w:val="22"/>
              </w:rPr>
            </w:pPr>
            <w:r>
              <w:rPr>
                <w:rFonts w:ascii="Arial" w:hAnsi="Arial" w:cs="Arial"/>
                <w:sz w:val="22"/>
                <w:szCs w:val="22"/>
              </w:rPr>
              <w:t>4</w:t>
            </w:r>
            <w:r w:rsidR="006217F6">
              <w:rPr>
                <w:rFonts w:ascii="Arial" w:hAnsi="Arial" w:cs="Arial"/>
                <w:sz w:val="22"/>
                <w:szCs w:val="22"/>
              </w:rPr>
              <w:t>1</w:t>
            </w:r>
          </w:p>
        </w:tc>
      </w:tr>
      <w:tr w:rsidR="00E713CE" w:rsidRPr="00FD62A0" w:rsidTr="00D52F9A">
        <w:tc>
          <w:tcPr>
            <w:tcW w:w="8965" w:type="dxa"/>
          </w:tcPr>
          <w:p w:rsidR="00E713CE" w:rsidRPr="00FD62A0" w:rsidRDefault="00E8280D" w:rsidP="00BF4427">
            <w:pPr>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xml:space="preserve">3.1. Exploração sexual </w:t>
            </w:r>
            <w:r w:rsidR="00A85E06">
              <w:rPr>
                <w:rFonts w:ascii="Arial" w:hAnsi="Arial" w:cs="Arial"/>
                <w:sz w:val="22"/>
                <w:szCs w:val="22"/>
              </w:rPr>
              <w:t>infantojuvenil</w:t>
            </w:r>
            <w:r w:rsidRPr="00FD62A0">
              <w:rPr>
                <w:rFonts w:ascii="Arial" w:hAnsi="Arial" w:cs="Arial"/>
                <w:sz w:val="22"/>
                <w:szCs w:val="22"/>
              </w:rPr>
              <w:t>: a realidade brasileira</w:t>
            </w:r>
            <w:r w:rsidR="00711D49" w:rsidRPr="00FD62A0">
              <w:rPr>
                <w:rFonts w:ascii="Arial" w:hAnsi="Arial" w:cs="Arial"/>
                <w:sz w:val="22"/>
                <w:szCs w:val="22"/>
              </w:rPr>
              <w:t>....................................</w:t>
            </w:r>
          </w:p>
        </w:tc>
        <w:tc>
          <w:tcPr>
            <w:tcW w:w="483" w:type="dxa"/>
          </w:tcPr>
          <w:p w:rsidR="00E713CE" w:rsidRPr="00FD62A0" w:rsidRDefault="00404C99" w:rsidP="006217F6">
            <w:pPr>
              <w:spacing w:line="360" w:lineRule="auto"/>
              <w:jc w:val="center"/>
              <w:rPr>
                <w:rFonts w:ascii="Arial" w:hAnsi="Arial" w:cs="Arial"/>
                <w:sz w:val="22"/>
                <w:szCs w:val="22"/>
              </w:rPr>
            </w:pPr>
            <w:r>
              <w:rPr>
                <w:rFonts w:ascii="Arial" w:hAnsi="Arial" w:cs="Arial"/>
                <w:sz w:val="22"/>
                <w:szCs w:val="22"/>
              </w:rPr>
              <w:t>4</w:t>
            </w:r>
            <w:r w:rsidR="006217F6">
              <w:rPr>
                <w:rFonts w:ascii="Arial" w:hAnsi="Arial" w:cs="Arial"/>
                <w:sz w:val="22"/>
                <w:szCs w:val="22"/>
              </w:rPr>
              <w:t>4</w:t>
            </w:r>
          </w:p>
        </w:tc>
      </w:tr>
      <w:tr w:rsidR="00E713CE" w:rsidRPr="00FD62A0" w:rsidTr="00D52F9A">
        <w:tc>
          <w:tcPr>
            <w:tcW w:w="8965" w:type="dxa"/>
          </w:tcPr>
          <w:p w:rsidR="00B711B2" w:rsidRPr="00FD62A0" w:rsidRDefault="007A3227" w:rsidP="007A3227">
            <w:pPr>
              <w:autoSpaceDE w:val="0"/>
              <w:autoSpaceDN w:val="0"/>
              <w:adjustRightInd w:val="0"/>
              <w:spacing w:line="360" w:lineRule="auto"/>
              <w:jc w:val="both"/>
              <w:rPr>
                <w:rFonts w:ascii="Arial" w:hAnsi="Arial" w:cs="Arial"/>
                <w:b/>
                <w:sz w:val="22"/>
                <w:szCs w:val="22"/>
              </w:rPr>
            </w:pPr>
            <w:r w:rsidRPr="00FD62A0">
              <w:rPr>
                <w:rFonts w:ascii="Arial" w:hAnsi="Arial" w:cs="Arial"/>
                <w:sz w:val="22"/>
                <w:szCs w:val="22"/>
              </w:rPr>
              <w:t>3.2. Iniciativas para mudança da exploração sexual no Brasil..................................</w:t>
            </w:r>
          </w:p>
        </w:tc>
        <w:tc>
          <w:tcPr>
            <w:tcW w:w="483" w:type="dxa"/>
          </w:tcPr>
          <w:p w:rsidR="00E713CE" w:rsidRPr="00FD62A0" w:rsidRDefault="00404C99" w:rsidP="006217F6">
            <w:pPr>
              <w:spacing w:line="360" w:lineRule="auto"/>
              <w:jc w:val="center"/>
              <w:rPr>
                <w:rFonts w:ascii="Arial" w:hAnsi="Arial" w:cs="Arial"/>
                <w:sz w:val="22"/>
                <w:szCs w:val="22"/>
              </w:rPr>
            </w:pPr>
            <w:r>
              <w:rPr>
                <w:rFonts w:ascii="Arial" w:hAnsi="Arial" w:cs="Arial"/>
                <w:sz w:val="22"/>
                <w:szCs w:val="22"/>
              </w:rPr>
              <w:t>5</w:t>
            </w:r>
            <w:r w:rsidR="006217F6">
              <w:rPr>
                <w:rFonts w:ascii="Arial" w:hAnsi="Arial" w:cs="Arial"/>
                <w:sz w:val="22"/>
                <w:szCs w:val="22"/>
              </w:rPr>
              <w:t>3</w:t>
            </w:r>
          </w:p>
        </w:tc>
      </w:tr>
      <w:tr w:rsidR="00E713CE" w:rsidRPr="00FD62A0" w:rsidTr="00D52F9A">
        <w:tc>
          <w:tcPr>
            <w:tcW w:w="8965" w:type="dxa"/>
          </w:tcPr>
          <w:p w:rsidR="00E713CE" w:rsidRPr="00FD62A0" w:rsidRDefault="00E8280D" w:rsidP="00707618">
            <w:pPr>
              <w:autoSpaceDE w:val="0"/>
              <w:autoSpaceDN w:val="0"/>
              <w:adjustRightInd w:val="0"/>
              <w:spacing w:line="360" w:lineRule="auto"/>
              <w:jc w:val="both"/>
              <w:rPr>
                <w:rFonts w:ascii="Arial" w:hAnsi="Arial" w:cs="Arial"/>
                <w:b/>
                <w:sz w:val="22"/>
                <w:szCs w:val="22"/>
                <w:lang/>
              </w:rPr>
            </w:pPr>
            <w:r w:rsidRPr="00FD62A0">
              <w:rPr>
                <w:rFonts w:ascii="Arial" w:hAnsi="Arial" w:cs="Arial"/>
                <w:b/>
                <w:sz w:val="22"/>
                <w:szCs w:val="22"/>
                <w:lang/>
              </w:rPr>
              <w:t xml:space="preserve">CAPÍTULO IV </w:t>
            </w:r>
            <w:r w:rsidR="00707618" w:rsidRPr="00FD62A0">
              <w:rPr>
                <w:rFonts w:ascii="Arial" w:hAnsi="Arial" w:cs="Arial"/>
                <w:b/>
                <w:sz w:val="22"/>
                <w:szCs w:val="22"/>
                <w:lang/>
              </w:rPr>
              <w:t>–</w:t>
            </w:r>
            <w:r w:rsidRPr="00FD62A0">
              <w:rPr>
                <w:rFonts w:ascii="Arial" w:hAnsi="Arial" w:cs="Arial"/>
                <w:b/>
                <w:sz w:val="22"/>
                <w:szCs w:val="22"/>
                <w:lang/>
              </w:rPr>
              <w:t xml:space="preserve"> P</w:t>
            </w:r>
            <w:r w:rsidR="00707618" w:rsidRPr="00FD62A0">
              <w:rPr>
                <w:rFonts w:ascii="Arial" w:hAnsi="Arial" w:cs="Arial"/>
                <w:b/>
                <w:sz w:val="22"/>
                <w:szCs w:val="22"/>
                <w:lang/>
              </w:rPr>
              <w:t>ROJETOS DE REFERÊNCIA: VIRAVIDA E TURISMO SUSTENTÁVEL E INFÂNCIA..</w:t>
            </w:r>
            <w:r w:rsidR="0092603B" w:rsidRPr="00FD62A0">
              <w:rPr>
                <w:rFonts w:ascii="Arial" w:hAnsi="Arial" w:cs="Arial"/>
                <w:b/>
                <w:sz w:val="22"/>
                <w:szCs w:val="22"/>
                <w:lang/>
              </w:rPr>
              <w:t>.................................................................................</w:t>
            </w:r>
          </w:p>
        </w:tc>
        <w:tc>
          <w:tcPr>
            <w:tcW w:w="483" w:type="dxa"/>
            <w:vAlign w:val="bottom"/>
          </w:tcPr>
          <w:p w:rsidR="00E713CE" w:rsidRPr="00FD62A0" w:rsidRDefault="00404C99" w:rsidP="006217F6">
            <w:pPr>
              <w:spacing w:line="360" w:lineRule="auto"/>
              <w:jc w:val="center"/>
              <w:rPr>
                <w:rFonts w:ascii="Arial" w:hAnsi="Arial" w:cs="Arial"/>
                <w:sz w:val="22"/>
                <w:szCs w:val="22"/>
                <w:lang/>
              </w:rPr>
            </w:pPr>
            <w:r>
              <w:rPr>
                <w:rFonts w:ascii="Arial" w:hAnsi="Arial" w:cs="Arial"/>
                <w:sz w:val="22"/>
                <w:szCs w:val="22"/>
                <w:lang/>
              </w:rPr>
              <w:t>6</w:t>
            </w:r>
            <w:r w:rsidR="006217F6">
              <w:rPr>
                <w:rFonts w:ascii="Arial" w:hAnsi="Arial" w:cs="Arial"/>
                <w:sz w:val="22"/>
                <w:szCs w:val="22"/>
                <w:lang/>
              </w:rPr>
              <w:t>1</w:t>
            </w:r>
          </w:p>
        </w:tc>
      </w:tr>
      <w:tr w:rsidR="00A1033C" w:rsidRPr="00FD62A0" w:rsidTr="00D52F9A">
        <w:tc>
          <w:tcPr>
            <w:tcW w:w="8965" w:type="dxa"/>
          </w:tcPr>
          <w:p w:rsidR="00A1033C" w:rsidRPr="00FD62A0" w:rsidRDefault="00E8280D" w:rsidP="00BF4427">
            <w:pPr>
              <w:autoSpaceDE w:val="0"/>
              <w:autoSpaceDN w:val="0"/>
              <w:adjustRightInd w:val="0"/>
              <w:spacing w:line="360" w:lineRule="auto"/>
              <w:rPr>
                <w:rFonts w:ascii="Arial" w:hAnsi="Arial" w:cs="Arial"/>
                <w:sz w:val="22"/>
                <w:szCs w:val="22"/>
                <w:lang/>
              </w:rPr>
            </w:pPr>
            <w:r w:rsidRPr="00FD62A0">
              <w:rPr>
                <w:rFonts w:ascii="Arial" w:hAnsi="Arial" w:cs="Arial"/>
                <w:sz w:val="22"/>
                <w:szCs w:val="22"/>
                <w:lang/>
              </w:rPr>
              <w:t xml:space="preserve">4.1. </w:t>
            </w:r>
            <w:r w:rsidR="00C02187" w:rsidRPr="00FD62A0">
              <w:rPr>
                <w:rFonts w:ascii="Arial" w:hAnsi="Arial" w:cs="Arial"/>
                <w:sz w:val="22"/>
                <w:szCs w:val="22"/>
                <w:lang/>
              </w:rPr>
              <w:t>ViraVida</w:t>
            </w:r>
            <w:r w:rsidR="0092603B" w:rsidRPr="00FD62A0">
              <w:rPr>
                <w:rFonts w:ascii="Arial" w:hAnsi="Arial" w:cs="Arial"/>
                <w:sz w:val="22"/>
                <w:szCs w:val="22"/>
                <w:lang/>
              </w:rPr>
              <w:t>..............................................................................................................</w:t>
            </w:r>
          </w:p>
        </w:tc>
        <w:tc>
          <w:tcPr>
            <w:tcW w:w="483" w:type="dxa"/>
          </w:tcPr>
          <w:p w:rsidR="00A1033C" w:rsidRPr="00FD62A0" w:rsidRDefault="00404C99" w:rsidP="006217F6">
            <w:pPr>
              <w:spacing w:line="360" w:lineRule="auto"/>
              <w:jc w:val="center"/>
              <w:rPr>
                <w:rFonts w:ascii="Arial" w:hAnsi="Arial" w:cs="Arial"/>
                <w:sz w:val="22"/>
                <w:szCs w:val="22"/>
              </w:rPr>
            </w:pPr>
            <w:r>
              <w:rPr>
                <w:rFonts w:ascii="Arial" w:hAnsi="Arial" w:cs="Arial"/>
                <w:sz w:val="22"/>
                <w:szCs w:val="22"/>
              </w:rPr>
              <w:t>6</w:t>
            </w:r>
            <w:r w:rsidR="006217F6">
              <w:rPr>
                <w:rFonts w:ascii="Arial" w:hAnsi="Arial" w:cs="Arial"/>
                <w:sz w:val="22"/>
                <w:szCs w:val="22"/>
              </w:rPr>
              <w:t>2</w:t>
            </w:r>
          </w:p>
        </w:tc>
      </w:tr>
      <w:tr w:rsidR="00A1033C" w:rsidRPr="00FD62A0" w:rsidTr="00D52F9A">
        <w:tc>
          <w:tcPr>
            <w:tcW w:w="8965" w:type="dxa"/>
          </w:tcPr>
          <w:p w:rsidR="00A1033C" w:rsidRPr="00FD62A0" w:rsidRDefault="00E8280D" w:rsidP="00BF4427">
            <w:pPr>
              <w:autoSpaceDE w:val="0"/>
              <w:autoSpaceDN w:val="0"/>
              <w:adjustRightInd w:val="0"/>
              <w:spacing w:line="360" w:lineRule="auto"/>
              <w:ind w:left="540"/>
              <w:jc w:val="both"/>
              <w:rPr>
                <w:rFonts w:ascii="Arial" w:hAnsi="Arial" w:cs="Arial"/>
                <w:bCs/>
                <w:sz w:val="22"/>
                <w:szCs w:val="22"/>
                <w:lang/>
              </w:rPr>
            </w:pPr>
            <w:r w:rsidRPr="00FD62A0">
              <w:rPr>
                <w:rFonts w:ascii="Arial" w:hAnsi="Arial" w:cs="Arial"/>
                <w:bCs/>
                <w:sz w:val="22"/>
                <w:szCs w:val="22"/>
                <w:lang/>
              </w:rPr>
              <w:t>4.1.1. Sistematização do processo de recrutamento e seleção</w:t>
            </w:r>
            <w:r w:rsidR="0092603B" w:rsidRPr="00FD62A0">
              <w:rPr>
                <w:rFonts w:ascii="Arial" w:hAnsi="Arial" w:cs="Arial"/>
                <w:bCs/>
                <w:sz w:val="22"/>
                <w:szCs w:val="22"/>
                <w:lang/>
              </w:rPr>
              <w:t>........................</w:t>
            </w:r>
          </w:p>
        </w:tc>
        <w:tc>
          <w:tcPr>
            <w:tcW w:w="483" w:type="dxa"/>
          </w:tcPr>
          <w:p w:rsidR="00A1033C" w:rsidRPr="00FD62A0" w:rsidRDefault="00404C99" w:rsidP="006217F6">
            <w:pPr>
              <w:spacing w:line="360" w:lineRule="auto"/>
              <w:jc w:val="center"/>
              <w:rPr>
                <w:rFonts w:ascii="Arial" w:hAnsi="Arial" w:cs="Arial"/>
                <w:sz w:val="22"/>
                <w:szCs w:val="22"/>
                <w:lang/>
              </w:rPr>
            </w:pPr>
            <w:r>
              <w:rPr>
                <w:rFonts w:ascii="Arial" w:hAnsi="Arial" w:cs="Arial"/>
                <w:sz w:val="22"/>
                <w:szCs w:val="22"/>
                <w:lang/>
              </w:rPr>
              <w:t>6</w:t>
            </w:r>
            <w:r w:rsidR="006217F6">
              <w:rPr>
                <w:rFonts w:ascii="Arial" w:hAnsi="Arial" w:cs="Arial"/>
                <w:sz w:val="22"/>
                <w:szCs w:val="22"/>
                <w:lang/>
              </w:rPr>
              <w:t>5</w:t>
            </w:r>
          </w:p>
        </w:tc>
      </w:tr>
      <w:tr w:rsidR="00404C99" w:rsidRPr="00FD62A0" w:rsidTr="00D52F9A">
        <w:tc>
          <w:tcPr>
            <w:tcW w:w="8965" w:type="dxa"/>
          </w:tcPr>
          <w:p w:rsidR="00404C99" w:rsidRPr="00FD62A0" w:rsidRDefault="00404C99" w:rsidP="00BF4427">
            <w:pPr>
              <w:autoSpaceDE w:val="0"/>
              <w:autoSpaceDN w:val="0"/>
              <w:adjustRightInd w:val="0"/>
              <w:spacing w:line="360" w:lineRule="auto"/>
              <w:ind w:left="540"/>
              <w:jc w:val="both"/>
              <w:rPr>
                <w:rFonts w:ascii="Arial" w:hAnsi="Arial" w:cs="Arial"/>
                <w:bCs/>
                <w:sz w:val="22"/>
                <w:szCs w:val="22"/>
                <w:lang/>
              </w:rPr>
            </w:pPr>
            <w:r w:rsidRPr="00FD62A0">
              <w:rPr>
                <w:rFonts w:ascii="Arial" w:hAnsi="Arial" w:cs="Arial"/>
                <w:bCs/>
                <w:sz w:val="22"/>
                <w:szCs w:val="22"/>
                <w:lang/>
              </w:rPr>
              <w:t>4.1.2. Sistematização do Processo Educativo..................................................</w:t>
            </w:r>
          </w:p>
        </w:tc>
        <w:tc>
          <w:tcPr>
            <w:tcW w:w="483" w:type="dxa"/>
          </w:tcPr>
          <w:p w:rsidR="00404C99" w:rsidRPr="00FD62A0" w:rsidRDefault="00404C99" w:rsidP="006217F6">
            <w:pPr>
              <w:spacing w:line="360" w:lineRule="auto"/>
              <w:jc w:val="center"/>
              <w:rPr>
                <w:rFonts w:ascii="Arial" w:hAnsi="Arial" w:cs="Arial"/>
                <w:sz w:val="22"/>
                <w:szCs w:val="22"/>
                <w:lang/>
              </w:rPr>
            </w:pPr>
            <w:r>
              <w:rPr>
                <w:rFonts w:ascii="Arial" w:hAnsi="Arial" w:cs="Arial"/>
                <w:sz w:val="22"/>
                <w:szCs w:val="22"/>
                <w:lang/>
              </w:rPr>
              <w:t>6</w:t>
            </w:r>
            <w:r w:rsidR="006217F6">
              <w:rPr>
                <w:rFonts w:ascii="Arial" w:hAnsi="Arial" w:cs="Arial"/>
                <w:sz w:val="22"/>
                <w:szCs w:val="22"/>
                <w:lang/>
              </w:rPr>
              <w:t>7</w:t>
            </w:r>
          </w:p>
        </w:tc>
      </w:tr>
      <w:tr w:rsidR="00404C99" w:rsidRPr="00FD62A0" w:rsidTr="00D52F9A">
        <w:tc>
          <w:tcPr>
            <w:tcW w:w="8965" w:type="dxa"/>
          </w:tcPr>
          <w:p w:rsidR="00404C99" w:rsidRPr="00FD62A0" w:rsidRDefault="00404C99" w:rsidP="00BF4427">
            <w:pPr>
              <w:autoSpaceDE w:val="0"/>
              <w:autoSpaceDN w:val="0"/>
              <w:adjustRightInd w:val="0"/>
              <w:spacing w:line="360" w:lineRule="auto"/>
              <w:ind w:left="540"/>
              <w:jc w:val="both"/>
              <w:rPr>
                <w:rFonts w:ascii="Arial" w:hAnsi="Arial" w:cs="Arial"/>
                <w:sz w:val="22"/>
                <w:szCs w:val="22"/>
                <w:lang/>
              </w:rPr>
            </w:pPr>
            <w:r w:rsidRPr="00FD62A0">
              <w:rPr>
                <w:rFonts w:ascii="Arial" w:hAnsi="Arial" w:cs="Arial"/>
                <w:sz w:val="22"/>
                <w:szCs w:val="22"/>
                <w:lang/>
              </w:rPr>
              <w:t>4.1.3. Sistematização do processo de atendimento integral.............................</w:t>
            </w:r>
          </w:p>
        </w:tc>
        <w:tc>
          <w:tcPr>
            <w:tcW w:w="483" w:type="dxa"/>
          </w:tcPr>
          <w:p w:rsidR="00404C99" w:rsidRPr="00FD62A0" w:rsidRDefault="006217F6" w:rsidP="00EC4FEE">
            <w:pPr>
              <w:spacing w:line="360" w:lineRule="auto"/>
              <w:jc w:val="center"/>
              <w:rPr>
                <w:rFonts w:ascii="Arial" w:hAnsi="Arial" w:cs="Arial"/>
                <w:sz w:val="22"/>
                <w:szCs w:val="22"/>
              </w:rPr>
            </w:pPr>
            <w:r>
              <w:rPr>
                <w:rFonts w:ascii="Arial" w:hAnsi="Arial" w:cs="Arial"/>
                <w:sz w:val="22"/>
                <w:szCs w:val="22"/>
              </w:rPr>
              <w:t>69</w:t>
            </w:r>
          </w:p>
        </w:tc>
      </w:tr>
      <w:tr w:rsidR="00404C99" w:rsidRPr="00FD62A0" w:rsidTr="00D52F9A">
        <w:tc>
          <w:tcPr>
            <w:tcW w:w="8965" w:type="dxa"/>
          </w:tcPr>
          <w:p w:rsidR="00404C99" w:rsidRPr="00FD62A0" w:rsidRDefault="00404C99" w:rsidP="00BF4427">
            <w:pPr>
              <w:autoSpaceDE w:val="0"/>
              <w:autoSpaceDN w:val="0"/>
              <w:adjustRightInd w:val="0"/>
              <w:spacing w:line="360" w:lineRule="auto"/>
              <w:ind w:left="540"/>
              <w:jc w:val="both"/>
              <w:rPr>
                <w:rFonts w:ascii="Arial" w:hAnsi="Arial" w:cs="Arial"/>
                <w:bCs/>
                <w:sz w:val="22"/>
                <w:szCs w:val="22"/>
                <w:lang/>
              </w:rPr>
            </w:pPr>
            <w:r w:rsidRPr="00FD62A0">
              <w:rPr>
                <w:rFonts w:ascii="Arial" w:hAnsi="Arial" w:cs="Arial"/>
                <w:bCs/>
                <w:sz w:val="22"/>
                <w:szCs w:val="22"/>
                <w:lang/>
              </w:rPr>
              <w:t>4.1.4. Inserção no mercado de trabalho............................................................</w:t>
            </w:r>
          </w:p>
        </w:tc>
        <w:tc>
          <w:tcPr>
            <w:tcW w:w="483" w:type="dxa"/>
          </w:tcPr>
          <w:p w:rsidR="00404C99" w:rsidRPr="00FD62A0" w:rsidRDefault="00404C99" w:rsidP="006217F6">
            <w:pPr>
              <w:spacing w:line="360" w:lineRule="auto"/>
              <w:jc w:val="center"/>
              <w:rPr>
                <w:rFonts w:ascii="Arial" w:hAnsi="Arial" w:cs="Arial"/>
                <w:sz w:val="22"/>
                <w:szCs w:val="22"/>
                <w:lang/>
              </w:rPr>
            </w:pPr>
            <w:r>
              <w:rPr>
                <w:rFonts w:ascii="Arial" w:hAnsi="Arial" w:cs="Arial"/>
                <w:sz w:val="22"/>
                <w:szCs w:val="22"/>
                <w:lang/>
              </w:rPr>
              <w:t>7</w:t>
            </w:r>
            <w:r w:rsidR="006217F6">
              <w:rPr>
                <w:rFonts w:ascii="Arial" w:hAnsi="Arial" w:cs="Arial"/>
                <w:sz w:val="22"/>
                <w:szCs w:val="22"/>
                <w:lang/>
              </w:rPr>
              <w:t>2</w:t>
            </w:r>
          </w:p>
        </w:tc>
      </w:tr>
      <w:tr w:rsidR="00404C99" w:rsidRPr="00FD62A0" w:rsidTr="00D52F9A">
        <w:tc>
          <w:tcPr>
            <w:tcW w:w="8965" w:type="dxa"/>
          </w:tcPr>
          <w:p w:rsidR="00404C99" w:rsidRPr="00FD62A0" w:rsidRDefault="00404C99" w:rsidP="00BF4427">
            <w:pPr>
              <w:autoSpaceDE w:val="0"/>
              <w:autoSpaceDN w:val="0"/>
              <w:adjustRightInd w:val="0"/>
              <w:spacing w:line="360" w:lineRule="auto"/>
              <w:ind w:left="540"/>
              <w:jc w:val="both"/>
              <w:rPr>
                <w:rFonts w:ascii="Arial" w:hAnsi="Arial" w:cs="Arial"/>
                <w:sz w:val="22"/>
                <w:szCs w:val="22"/>
                <w:lang/>
              </w:rPr>
            </w:pPr>
            <w:r w:rsidRPr="00FD62A0">
              <w:rPr>
                <w:rFonts w:ascii="Arial" w:hAnsi="Arial" w:cs="Arial"/>
                <w:sz w:val="22"/>
                <w:szCs w:val="22"/>
                <w:lang/>
              </w:rPr>
              <w:t>4.1.5. Resultados..............................................................................................</w:t>
            </w:r>
          </w:p>
        </w:tc>
        <w:tc>
          <w:tcPr>
            <w:tcW w:w="483" w:type="dxa"/>
          </w:tcPr>
          <w:p w:rsidR="00404C99" w:rsidRPr="00FD62A0" w:rsidRDefault="00404C99" w:rsidP="006217F6">
            <w:pPr>
              <w:spacing w:line="360" w:lineRule="auto"/>
              <w:jc w:val="center"/>
              <w:rPr>
                <w:rFonts w:ascii="Arial" w:hAnsi="Arial" w:cs="Arial"/>
                <w:sz w:val="22"/>
                <w:szCs w:val="22"/>
                <w:lang/>
              </w:rPr>
            </w:pPr>
            <w:r>
              <w:rPr>
                <w:rFonts w:ascii="Arial" w:hAnsi="Arial" w:cs="Arial"/>
                <w:sz w:val="22"/>
                <w:szCs w:val="22"/>
                <w:lang/>
              </w:rPr>
              <w:t>7</w:t>
            </w:r>
            <w:r w:rsidR="006217F6">
              <w:rPr>
                <w:rFonts w:ascii="Arial" w:hAnsi="Arial" w:cs="Arial"/>
                <w:sz w:val="22"/>
                <w:szCs w:val="22"/>
                <w:lang/>
              </w:rPr>
              <w:t>3</w:t>
            </w:r>
          </w:p>
        </w:tc>
      </w:tr>
      <w:tr w:rsidR="00404C99" w:rsidRPr="00FD62A0" w:rsidTr="00D52F9A">
        <w:tc>
          <w:tcPr>
            <w:tcW w:w="8965" w:type="dxa"/>
          </w:tcPr>
          <w:p w:rsidR="00404C99" w:rsidRPr="00FD62A0" w:rsidRDefault="00404C99"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4.2. Turismo Sustentável e Infância..........................................................................</w:t>
            </w:r>
          </w:p>
        </w:tc>
        <w:tc>
          <w:tcPr>
            <w:tcW w:w="483" w:type="dxa"/>
          </w:tcPr>
          <w:p w:rsidR="00404C99" w:rsidRPr="00FD62A0" w:rsidRDefault="00404C99" w:rsidP="006217F6">
            <w:pPr>
              <w:spacing w:line="360" w:lineRule="auto"/>
              <w:jc w:val="center"/>
              <w:rPr>
                <w:rFonts w:ascii="Arial" w:hAnsi="Arial" w:cs="Arial"/>
                <w:sz w:val="22"/>
                <w:szCs w:val="22"/>
              </w:rPr>
            </w:pPr>
            <w:r>
              <w:rPr>
                <w:rFonts w:ascii="Arial" w:hAnsi="Arial" w:cs="Arial"/>
                <w:sz w:val="22"/>
                <w:szCs w:val="22"/>
              </w:rPr>
              <w:t>7</w:t>
            </w:r>
            <w:r w:rsidR="006217F6">
              <w:rPr>
                <w:rFonts w:ascii="Arial" w:hAnsi="Arial" w:cs="Arial"/>
                <w:sz w:val="22"/>
                <w:szCs w:val="22"/>
              </w:rPr>
              <w:t>4</w:t>
            </w:r>
          </w:p>
        </w:tc>
      </w:tr>
      <w:tr w:rsidR="00404C99" w:rsidRPr="00FD62A0" w:rsidTr="00D52F9A">
        <w:tc>
          <w:tcPr>
            <w:tcW w:w="8965" w:type="dxa"/>
          </w:tcPr>
          <w:p w:rsidR="00404C99" w:rsidRPr="00FD62A0" w:rsidRDefault="00404C99" w:rsidP="00BF4427">
            <w:pPr>
              <w:autoSpaceDE w:val="0"/>
              <w:autoSpaceDN w:val="0"/>
              <w:adjustRightInd w:val="0"/>
              <w:spacing w:line="360" w:lineRule="auto"/>
              <w:ind w:left="540"/>
              <w:rPr>
                <w:rFonts w:ascii="Arial" w:hAnsi="Arial" w:cs="Arial"/>
                <w:sz w:val="22"/>
                <w:szCs w:val="22"/>
                <w:lang/>
              </w:rPr>
            </w:pPr>
            <w:r w:rsidRPr="00FD62A0">
              <w:rPr>
                <w:rFonts w:ascii="Arial" w:hAnsi="Arial" w:cs="Arial"/>
                <w:sz w:val="22"/>
                <w:szCs w:val="22"/>
                <w:lang/>
              </w:rPr>
              <w:t>4.2.1. Metodologia do processo seletivo – etapas e critério de seleção...........</w:t>
            </w:r>
          </w:p>
        </w:tc>
        <w:tc>
          <w:tcPr>
            <w:tcW w:w="483" w:type="dxa"/>
          </w:tcPr>
          <w:p w:rsidR="00404C99" w:rsidRPr="00FD62A0" w:rsidRDefault="00404C99" w:rsidP="006217F6">
            <w:pPr>
              <w:spacing w:line="360" w:lineRule="auto"/>
              <w:jc w:val="center"/>
              <w:rPr>
                <w:rFonts w:ascii="Arial" w:hAnsi="Arial" w:cs="Arial"/>
                <w:sz w:val="22"/>
                <w:szCs w:val="22"/>
              </w:rPr>
            </w:pPr>
            <w:r>
              <w:rPr>
                <w:rFonts w:ascii="Arial" w:hAnsi="Arial" w:cs="Arial"/>
                <w:sz w:val="22"/>
                <w:szCs w:val="22"/>
              </w:rPr>
              <w:t>7</w:t>
            </w:r>
            <w:r w:rsidR="006217F6">
              <w:rPr>
                <w:rFonts w:ascii="Arial" w:hAnsi="Arial" w:cs="Arial"/>
                <w:sz w:val="22"/>
                <w:szCs w:val="22"/>
              </w:rPr>
              <w:t>6</w:t>
            </w:r>
          </w:p>
        </w:tc>
      </w:tr>
      <w:tr w:rsidR="00404C99" w:rsidRPr="00FD62A0" w:rsidTr="00D52F9A">
        <w:tc>
          <w:tcPr>
            <w:tcW w:w="8965" w:type="dxa"/>
          </w:tcPr>
          <w:p w:rsidR="00404C99" w:rsidRPr="00FD62A0" w:rsidRDefault="00404C99" w:rsidP="001B0891">
            <w:pPr>
              <w:autoSpaceDE w:val="0"/>
              <w:autoSpaceDN w:val="0"/>
              <w:adjustRightInd w:val="0"/>
              <w:spacing w:line="360" w:lineRule="auto"/>
              <w:ind w:firstLine="567"/>
              <w:jc w:val="both"/>
              <w:rPr>
                <w:rFonts w:ascii="Arial" w:hAnsi="Arial" w:cs="Arial"/>
                <w:b/>
                <w:sz w:val="22"/>
                <w:szCs w:val="22"/>
                <w:lang/>
              </w:rPr>
            </w:pPr>
            <w:r w:rsidRPr="00FD62A0">
              <w:rPr>
                <w:rFonts w:ascii="Arial" w:hAnsi="Arial" w:cs="Arial"/>
                <w:sz w:val="22"/>
                <w:szCs w:val="22"/>
                <w:lang/>
              </w:rPr>
              <w:t>4.2.2. Proposta curricular da Instituição executora...........................................</w:t>
            </w:r>
          </w:p>
        </w:tc>
        <w:tc>
          <w:tcPr>
            <w:tcW w:w="483" w:type="dxa"/>
          </w:tcPr>
          <w:p w:rsidR="00404C99" w:rsidRPr="00FD62A0" w:rsidRDefault="006217F6" w:rsidP="00EC4FEE">
            <w:pPr>
              <w:spacing w:line="360" w:lineRule="auto"/>
              <w:jc w:val="center"/>
              <w:rPr>
                <w:rFonts w:ascii="Arial" w:hAnsi="Arial" w:cs="Arial"/>
                <w:sz w:val="22"/>
                <w:szCs w:val="22"/>
                <w:lang/>
              </w:rPr>
            </w:pPr>
            <w:r>
              <w:rPr>
                <w:rFonts w:ascii="Arial" w:hAnsi="Arial" w:cs="Arial"/>
                <w:sz w:val="22"/>
                <w:szCs w:val="22"/>
                <w:lang/>
              </w:rPr>
              <w:t>78</w:t>
            </w:r>
          </w:p>
        </w:tc>
      </w:tr>
      <w:tr w:rsidR="00404C99" w:rsidRPr="00FD62A0" w:rsidTr="00D52F9A">
        <w:tc>
          <w:tcPr>
            <w:tcW w:w="8965" w:type="dxa"/>
          </w:tcPr>
          <w:p w:rsidR="00404C99" w:rsidRPr="00FD62A0" w:rsidRDefault="00404C99" w:rsidP="009D346F">
            <w:pPr>
              <w:spacing w:line="360" w:lineRule="auto"/>
              <w:ind w:left="540"/>
              <w:jc w:val="both"/>
              <w:rPr>
                <w:rFonts w:ascii="Arial" w:hAnsi="Arial" w:cs="Arial"/>
                <w:sz w:val="22"/>
                <w:szCs w:val="22"/>
                <w:lang/>
              </w:rPr>
            </w:pPr>
            <w:r w:rsidRPr="00FD62A0">
              <w:rPr>
                <w:rFonts w:ascii="Arial" w:hAnsi="Arial" w:cs="Arial"/>
                <w:sz w:val="22"/>
                <w:szCs w:val="22"/>
                <w:lang/>
              </w:rPr>
              <w:t>4.2.3. Execução do projeto................................................................................</w:t>
            </w:r>
          </w:p>
        </w:tc>
        <w:tc>
          <w:tcPr>
            <w:tcW w:w="483" w:type="dxa"/>
          </w:tcPr>
          <w:p w:rsidR="00404C99" w:rsidRPr="00FD62A0" w:rsidRDefault="006217F6" w:rsidP="00EC4FEE">
            <w:pPr>
              <w:spacing w:line="360" w:lineRule="auto"/>
              <w:jc w:val="center"/>
              <w:rPr>
                <w:rFonts w:ascii="Arial" w:hAnsi="Arial" w:cs="Arial"/>
                <w:sz w:val="22"/>
                <w:szCs w:val="22"/>
                <w:lang/>
              </w:rPr>
            </w:pPr>
            <w:r>
              <w:rPr>
                <w:rFonts w:ascii="Arial" w:hAnsi="Arial" w:cs="Arial"/>
                <w:sz w:val="22"/>
                <w:szCs w:val="22"/>
                <w:lang/>
              </w:rPr>
              <w:t>79</w:t>
            </w:r>
          </w:p>
        </w:tc>
      </w:tr>
      <w:tr w:rsidR="00404C99" w:rsidRPr="00FD62A0" w:rsidTr="00D52F9A">
        <w:tc>
          <w:tcPr>
            <w:tcW w:w="8965" w:type="dxa"/>
          </w:tcPr>
          <w:p w:rsidR="00404C99" w:rsidRPr="00FD62A0" w:rsidRDefault="00404C99" w:rsidP="009D346F">
            <w:pPr>
              <w:spacing w:line="360" w:lineRule="auto"/>
              <w:ind w:left="540"/>
              <w:jc w:val="both"/>
              <w:rPr>
                <w:rFonts w:ascii="Arial" w:hAnsi="Arial" w:cs="Arial"/>
                <w:sz w:val="22"/>
                <w:szCs w:val="22"/>
                <w:lang/>
              </w:rPr>
            </w:pPr>
            <w:r w:rsidRPr="00FD62A0">
              <w:rPr>
                <w:rFonts w:ascii="Arial" w:hAnsi="Arial" w:cs="Arial"/>
                <w:sz w:val="22"/>
                <w:szCs w:val="22"/>
                <w:lang/>
              </w:rPr>
              <w:t>4.2.4. Resultados..............................................................................................</w:t>
            </w:r>
          </w:p>
        </w:tc>
        <w:tc>
          <w:tcPr>
            <w:tcW w:w="483" w:type="dxa"/>
          </w:tcPr>
          <w:p w:rsidR="00404C99" w:rsidRPr="00FD62A0" w:rsidRDefault="00404C99" w:rsidP="006217F6">
            <w:pPr>
              <w:spacing w:line="360" w:lineRule="auto"/>
              <w:jc w:val="center"/>
              <w:rPr>
                <w:rFonts w:ascii="Arial" w:hAnsi="Arial" w:cs="Arial"/>
                <w:sz w:val="22"/>
                <w:szCs w:val="22"/>
              </w:rPr>
            </w:pPr>
            <w:r>
              <w:rPr>
                <w:rFonts w:ascii="Arial" w:hAnsi="Arial" w:cs="Arial"/>
                <w:sz w:val="22"/>
                <w:szCs w:val="22"/>
              </w:rPr>
              <w:t>8</w:t>
            </w:r>
            <w:r w:rsidR="006217F6">
              <w:rPr>
                <w:rFonts w:ascii="Arial" w:hAnsi="Arial" w:cs="Arial"/>
                <w:sz w:val="22"/>
                <w:szCs w:val="22"/>
              </w:rPr>
              <w:t>0</w:t>
            </w:r>
          </w:p>
        </w:tc>
      </w:tr>
      <w:tr w:rsidR="00404C99" w:rsidRPr="00FD62A0" w:rsidTr="00D52F9A">
        <w:tc>
          <w:tcPr>
            <w:tcW w:w="8965" w:type="dxa"/>
          </w:tcPr>
          <w:p w:rsidR="00404C99" w:rsidRPr="00FD62A0" w:rsidRDefault="00404C99" w:rsidP="009D346F">
            <w:pPr>
              <w:widowControl w:val="0"/>
              <w:tabs>
                <w:tab w:val="left" w:pos="0"/>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lastRenderedPageBreak/>
              <w:t>CONCLUSÃO............................................................................................................</w:t>
            </w:r>
          </w:p>
        </w:tc>
        <w:tc>
          <w:tcPr>
            <w:tcW w:w="483" w:type="dxa"/>
          </w:tcPr>
          <w:p w:rsidR="00404C99" w:rsidRPr="00FD62A0" w:rsidRDefault="00404C99" w:rsidP="006217F6">
            <w:pPr>
              <w:spacing w:line="360" w:lineRule="auto"/>
              <w:jc w:val="center"/>
              <w:rPr>
                <w:rFonts w:ascii="Arial" w:hAnsi="Arial" w:cs="Arial"/>
                <w:sz w:val="22"/>
                <w:szCs w:val="22"/>
              </w:rPr>
            </w:pPr>
            <w:r>
              <w:rPr>
                <w:rFonts w:ascii="Arial" w:hAnsi="Arial" w:cs="Arial"/>
                <w:sz w:val="22"/>
                <w:szCs w:val="22"/>
              </w:rPr>
              <w:t>8</w:t>
            </w:r>
            <w:r w:rsidR="006217F6">
              <w:rPr>
                <w:rFonts w:ascii="Arial" w:hAnsi="Arial" w:cs="Arial"/>
                <w:sz w:val="22"/>
                <w:szCs w:val="22"/>
              </w:rPr>
              <w:t>3</w:t>
            </w:r>
          </w:p>
        </w:tc>
      </w:tr>
      <w:tr w:rsidR="00404C99" w:rsidRPr="00FD62A0" w:rsidTr="00D52F9A">
        <w:tc>
          <w:tcPr>
            <w:tcW w:w="8965" w:type="dxa"/>
          </w:tcPr>
          <w:p w:rsidR="00404C99" w:rsidRPr="00FD62A0" w:rsidRDefault="00404C99" w:rsidP="009D346F">
            <w:pPr>
              <w:widowControl w:val="0"/>
              <w:tabs>
                <w:tab w:val="left" w:pos="0"/>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FONTES....................................................................................................................</w:t>
            </w:r>
          </w:p>
        </w:tc>
        <w:tc>
          <w:tcPr>
            <w:tcW w:w="483" w:type="dxa"/>
          </w:tcPr>
          <w:p w:rsidR="00404C99" w:rsidRPr="00FD62A0" w:rsidRDefault="00404C99" w:rsidP="006217F6">
            <w:pPr>
              <w:spacing w:line="360" w:lineRule="auto"/>
              <w:jc w:val="center"/>
              <w:rPr>
                <w:rFonts w:ascii="Arial" w:hAnsi="Arial" w:cs="Arial"/>
                <w:sz w:val="22"/>
                <w:szCs w:val="22"/>
              </w:rPr>
            </w:pPr>
            <w:r>
              <w:rPr>
                <w:rFonts w:ascii="Arial" w:hAnsi="Arial" w:cs="Arial"/>
                <w:sz w:val="22"/>
                <w:szCs w:val="22"/>
              </w:rPr>
              <w:t>8</w:t>
            </w:r>
            <w:r w:rsidR="006217F6">
              <w:rPr>
                <w:rFonts w:ascii="Arial" w:hAnsi="Arial" w:cs="Arial"/>
                <w:sz w:val="22"/>
                <w:szCs w:val="22"/>
              </w:rPr>
              <w:t>5</w:t>
            </w:r>
          </w:p>
        </w:tc>
      </w:tr>
      <w:tr w:rsidR="00404C99" w:rsidRPr="00FD62A0" w:rsidTr="00D52F9A">
        <w:tc>
          <w:tcPr>
            <w:tcW w:w="8965" w:type="dxa"/>
          </w:tcPr>
          <w:p w:rsidR="00404C99" w:rsidRPr="00FD62A0" w:rsidRDefault="00404C99" w:rsidP="009D346F">
            <w:pPr>
              <w:widowControl w:val="0"/>
              <w:tabs>
                <w:tab w:val="left" w:pos="0"/>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BIBLIOGRAFIA.........................................................................................................</w:t>
            </w:r>
          </w:p>
        </w:tc>
        <w:tc>
          <w:tcPr>
            <w:tcW w:w="483" w:type="dxa"/>
          </w:tcPr>
          <w:p w:rsidR="00404C99" w:rsidRPr="00FD62A0" w:rsidRDefault="00404C99" w:rsidP="006217F6">
            <w:pPr>
              <w:spacing w:line="360" w:lineRule="auto"/>
              <w:jc w:val="center"/>
              <w:rPr>
                <w:rFonts w:ascii="Arial" w:hAnsi="Arial" w:cs="Arial"/>
                <w:sz w:val="22"/>
                <w:szCs w:val="22"/>
              </w:rPr>
            </w:pPr>
            <w:r>
              <w:rPr>
                <w:rFonts w:ascii="Arial" w:hAnsi="Arial" w:cs="Arial"/>
                <w:sz w:val="22"/>
                <w:szCs w:val="22"/>
              </w:rPr>
              <w:t>8</w:t>
            </w:r>
            <w:r w:rsidR="006217F6">
              <w:rPr>
                <w:rFonts w:ascii="Arial" w:hAnsi="Arial" w:cs="Arial"/>
                <w:sz w:val="22"/>
                <w:szCs w:val="22"/>
              </w:rPr>
              <w:t>7</w:t>
            </w:r>
          </w:p>
        </w:tc>
      </w:tr>
      <w:tr w:rsidR="00404C99" w:rsidRPr="00FD62A0" w:rsidTr="00D52F9A">
        <w:tc>
          <w:tcPr>
            <w:tcW w:w="8965" w:type="dxa"/>
          </w:tcPr>
          <w:p w:rsidR="00404C99" w:rsidRPr="00FD62A0" w:rsidRDefault="00404C99" w:rsidP="009D346F">
            <w:pPr>
              <w:widowControl w:val="0"/>
              <w:tabs>
                <w:tab w:val="left" w:pos="0"/>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ANEXO A..................................................................................................................</w:t>
            </w:r>
          </w:p>
        </w:tc>
        <w:tc>
          <w:tcPr>
            <w:tcW w:w="483" w:type="dxa"/>
          </w:tcPr>
          <w:p w:rsidR="00404C99" w:rsidRPr="00FD62A0" w:rsidRDefault="00404C99" w:rsidP="00EC4FEE">
            <w:pPr>
              <w:spacing w:line="360" w:lineRule="auto"/>
              <w:jc w:val="center"/>
              <w:rPr>
                <w:rFonts w:ascii="Arial" w:hAnsi="Arial" w:cs="Arial"/>
                <w:sz w:val="22"/>
                <w:szCs w:val="22"/>
              </w:rPr>
            </w:pPr>
            <w:r>
              <w:rPr>
                <w:rFonts w:ascii="Arial" w:hAnsi="Arial" w:cs="Arial"/>
                <w:sz w:val="22"/>
                <w:szCs w:val="22"/>
              </w:rPr>
              <w:t>vii</w:t>
            </w:r>
          </w:p>
        </w:tc>
      </w:tr>
      <w:tr w:rsidR="00404C99" w:rsidRPr="00FD62A0" w:rsidTr="00D52F9A">
        <w:tc>
          <w:tcPr>
            <w:tcW w:w="8965" w:type="dxa"/>
          </w:tcPr>
          <w:p w:rsidR="00404C99" w:rsidRPr="00FD62A0" w:rsidRDefault="00404C99" w:rsidP="009D346F">
            <w:pPr>
              <w:widowControl w:val="0"/>
              <w:tabs>
                <w:tab w:val="left" w:pos="0"/>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ANEXO B..................................................................................................................</w:t>
            </w:r>
          </w:p>
        </w:tc>
        <w:tc>
          <w:tcPr>
            <w:tcW w:w="483" w:type="dxa"/>
          </w:tcPr>
          <w:p w:rsidR="00404C99" w:rsidRPr="00FD62A0" w:rsidRDefault="00404C99" w:rsidP="00EC4FEE">
            <w:pPr>
              <w:spacing w:line="360" w:lineRule="auto"/>
              <w:jc w:val="center"/>
              <w:rPr>
                <w:rFonts w:ascii="Arial" w:hAnsi="Arial" w:cs="Arial"/>
                <w:sz w:val="22"/>
                <w:szCs w:val="22"/>
              </w:rPr>
            </w:pPr>
            <w:r w:rsidRPr="00FD62A0">
              <w:rPr>
                <w:rFonts w:ascii="Arial" w:hAnsi="Arial" w:cs="Arial"/>
                <w:sz w:val="22"/>
                <w:szCs w:val="22"/>
              </w:rPr>
              <w:t>vii</w:t>
            </w:r>
            <w:r>
              <w:rPr>
                <w:rFonts w:ascii="Arial" w:hAnsi="Arial" w:cs="Arial"/>
                <w:sz w:val="22"/>
                <w:szCs w:val="22"/>
              </w:rPr>
              <w:t>i</w:t>
            </w:r>
          </w:p>
        </w:tc>
      </w:tr>
      <w:tr w:rsidR="00404C99" w:rsidRPr="00FD62A0" w:rsidTr="00D52F9A">
        <w:tc>
          <w:tcPr>
            <w:tcW w:w="8965" w:type="dxa"/>
          </w:tcPr>
          <w:p w:rsidR="00404C99" w:rsidRPr="00FD62A0" w:rsidRDefault="00404C99" w:rsidP="009D346F">
            <w:pPr>
              <w:widowControl w:val="0"/>
              <w:tabs>
                <w:tab w:val="left" w:pos="0"/>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CURRICULO VITAE..................................................................................................</w:t>
            </w:r>
          </w:p>
        </w:tc>
        <w:tc>
          <w:tcPr>
            <w:tcW w:w="483" w:type="dxa"/>
          </w:tcPr>
          <w:p w:rsidR="00404C99" w:rsidRPr="00FD62A0" w:rsidRDefault="00404C99" w:rsidP="00EC4FEE">
            <w:pPr>
              <w:spacing w:line="360" w:lineRule="auto"/>
              <w:jc w:val="center"/>
              <w:rPr>
                <w:rFonts w:ascii="Arial" w:hAnsi="Arial" w:cs="Arial"/>
                <w:sz w:val="22"/>
                <w:szCs w:val="22"/>
              </w:rPr>
            </w:pPr>
            <w:r>
              <w:rPr>
                <w:rFonts w:ascii="Arial" w:hAnsi="Arial" w:cs="Arial"/>
                <w:sz w:val="22"/>
                <w:szCs w:val="22"/>
              </w:rPr>
              <w:t>x</w:t>
            </w:r>
          </w:p>
        </w:tc>
      </w:tr>
      <w:tr w:rsidR="00404C99" w:rsidRPr="00FD62A0" w:rsidTr="00D52F9A">
        <w:tc>
          <w:tcPr>
            <w:tcW w:w="8965" w:type="dxa"/>
          </w:tcPr>
          <w:p w:rsidR="00404C99" w:rsidRPr="00FD62A0" w:rsidRDefault="00404C99" w:rsidP="009D346F">
            <w:pPr>
              <w:widowControl w:val="0"/>
              <w:tabs>
                <w:tab w:val="left" w:pos="0"/>
              </w:tabs>
              <w:autoSpaceDE w:val="0"/>
              <w:autoSpaceDN w:val="0"/>
              <w:adjustRightInd w:val="0"/>
              <w:spacing w:line="360" w:lineRule="auto"/>
              <w:jc w:val="both"/>
              <w:rPr>
                <w:rFonts w:ascii="Arial" w:hAnsi="Arial" w:cs="Arial"/>
                <w:b/>
                <w:iCs/>
                <w:sz w:val="22"/>
                <w:szCs w:val="22"/>
              </w:rPr>
            </w:pPr>
          </w:p>
        </w:tc>
        <w:tc>
          <w:tcPr>
            <w:tcW w:w="483" w:type="dxa"/>
          </w:tcPr>
          <w:p w:rsidR="00404C99" w:rsidRPr="00FD62A0" w:rsidRDefault="00404C99" w:rsidP="00EC4FEE">
            <w:pPr>
              <w:spacing w:line="360" w:lineRule="auto"/>
              <w:jc w:val="center"/>
              <w:rPr>
                <w:rFonts w:ascii="Arial" w:hAnsi="Arial" w:cs="Arial"/>
                <w:sz w:val="22"/>
                <w:szCs w:val="22"/>
              </w:rPr>
            </w:pPr>
          </w:p>
        </w:tc>
      </w:tr>
    </w:tbl>
    <w:p w:rsidR="00FE3E87" w:rsidRPr="00FD62A0" w:rsidRDefault="00FE3E87" w:rsidP="00BF4427">
      <w:pPr>
        <w:spacing w:line="360" w:lineRule="auto"/>
        <w:jc w:val="center"/>
        <w:rPr>
          <w:rFonts w:ascii="Arial" w:hAnsi="Arial" w:cs="Arial"/>
          <w:b/>
          <w:sz w:val="22"/>
          <w:szCs w:val="22"/>
        </w:rPr>
      </w:pPr>
    </w:p>
    <w:p w:rsidR="00A124D6" w:rsidRPr="00FD62A0" w:rsidRDefault="00A124D6" w:rsidP="00BF4427">
      <w:pPr>
        <w:spacing w:line="360" w:lineRule="auto"/>
        <w:jc w:val="center"/>
        <w:rPr>
          <w:rFonts w:ascii="Arial" w:hAnsi="Arial" w:cs="Arial"/>
          <w:b/>
          <w:sz w:val="22"/>
          <w:szCs w:val="22"/>
        </w:rPr>
      </w:pPr>
    </w:p>
    <w:p w:rsidR="005C6545" w:rsidRPr="00FD62A0" w:rsidRDefault="005C6545"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Default="002A1169" w:rsidP="00BF4427">
      <w:pPr>
        <w:spacing w:line="360" w:lineRule="auto"/>
        <w:jc w:val="center"/>
        <w:rPr>
          <w:rFonts w:ascii="Arial" w:hAnsi="Arial" w:cs="Arial"/>
          <w:b/>
          <w:sz w:val="22"/>
          <w:szCs w:val="22"/>
        </w:rPr>
      </w:pPr>
    </w:p>
    <w:p w:rsidR="00FD62A0" w:rsidRDefault="00FD62A0" w:rsidP="00BF4427">
      <w:pPr>
        <w:spacing w:line="360" w:lineRule="auto"/>
        <w:jc w:val="center"/>
        <w:rPr>
          <w:rFonts w:ascii="Arial" w:hAnsi="Arial" w:cs="Arial"/>
          <w:b/>
          <w:sz w:val="22"/>
          <w:szCs w:val="22"/>
        </w:rPr>
      </w:pPr>
    </w:p>
    <w:p w:rsidR="00FD62A0" w:rsidRDefault="00FD62A0" w:rsidP="00BF4427">
      <w:pPr>
        <w:spacing w:line="360" w:lineRule="auto"/>
        <w:jc w:val="center"/>
        <w:rPr>
          <w:rFonts w:ascii="Arial" w:hAnsi="Arial" w:cs="Arial"/>
          <w:b/>
          <w:sz w:val="22"/>
          <w:szCs w:val="22"/>
        </w:rPr>
      </w:pPr>
    </w:p>
    <w:p w:rsidR="00FD62A0" w:rsidRDefault="00FD62A0" w:rsidP="00BF4427">
      <w:pPr>
        <w:spacing w:line="360" w:lineRule="auto"/>
        <w:jc w:val="center"/>
        <w:rPr>
          <w:rFonts w:ascii="Arial" w:hAnsi="Arial" w:cs="Arial"/>
          <w:b/>
          <w:sz w:val="22"/>
          <w:szCs w:val="22"/>
        </w:rPr>
      </w:pPr>
    </w:p>
    <w:p w:rsidR="00FD62A0" w:rsidRDefault="00FD62A0" w:rsidP="00BF4427">
      <w:pPr>
        <w:spacing w:line="360" w:lineRule="auto"/>
        <w:jc w:val="center"/>
        <w:rPr>
          <w:rFonts w:ascii="Arial" w:hAnsi="Arial" w:cs="Arial"/>
          <w:b/>
          <w:sz w:val="22"/>
          <w:szCs w:val="22"/>
        </w:rPr>
      </w:pPr>
    </w:p>
    <w:p w:rsidR="00FD62A0" w:rsidRDefault="00FD62A0" w:rsidP="00BF4427">
      <w:pPr>
        <w:spacing w:line="360" w:lineRule="auto"/>
        <w:jc w:val="center"/>
        <w:rPr>
          <w:rFonts w:ascii="Arial" w:hAnsi="Arial" w:cs="Arial"/>
          <w:b/>
          <w:sz w:val="22"/>
          <w:szCs w:val="22"/>
        </w:rPr>
      </w:pPr>
    </w:p>
    <w:p w:rsidR="00FD62A0" w:rsidRPr="00FD62A0" w:rsidRDefault="00FD62A0"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2A1169" w:rsidRPr="00FD62A0" w:rsidRDefault="002A1169" w:rsidP="00BF4427">
      <w:pPr>
        <w:spacing w:line="360" w:lineRule="auto"/>
        <w:jc w:val="center"/>
        <w:rPr>
          <w:rFonts w:ascii="Arial" w:hAnsi="Arial" w:cs="Arial"/>
          <w:b/>
          <w:sz w:val="22"/>
          <w:szCs w:val="22"/>
        </w:rPr>
      </w:pPr>
    </w:p>
    <w:p w:rsidR="00A124D6" w:rsidRPr="00FD62A0" w:rsidRDefault="005C6545" w:rsidP="00BF4427">
      <w:pPr>
        <w:spacing w:line="360" w:lineRule="auto"/>
        <w:jc w:val="center"/>
        <w:rPr>
          <w:rFonts w:ascii="Arial" w:hAnsi="Arial" w:cs="Arial"/>
          <w:b/>
          <w:sz w:val="22"/>
          <w:szCs w:val="22"/>
        </w:rPr>
      </w:pPr>
      <w:r w:rsidRPr="00FD62A0">
        <w:rPr>
          <w:rFonts w:ascii="Arial" w:hAnsi="Arial" w:cs="Arial"/>
          <w:b/>
          <w:sz w:val="22"/>
          <w:szCs w:val="22"/>
        </w:rPr>
        <w:t>ÍNDICE</w:t>
      </w:r>
      <w:r w:rsidR="00467453" w:rsidRPr="00FD62A0">
        <w:rPr>
          <w:rFonts w:ascii="Arial" w:hAnsi="Arial" w:cs="Arial"/>
          <w:b/>
          <w:sz w:val="22"/>
          <w:szCs w:val="22"/>
        </w:rPr>
        <w:t xml:space="preserve"> DE FIGURAS</w:t>
      </w:r>
    </w:p>
    <w:p w:rsidR="00A124D6" w:rsidRPr="00FD62A0" w:rsidRDefault="00A124D6" w:rsidP="00BF4427">
      <w:pPr>
        <w:spacing w:line="360" w:lineRule="auto"/>
        <w:jc w:val="center"/>
        <w:rPr>
          <w:rFonts w:ascii="Arial" w:hAnsi="Arial" w:cs="Arial"/>
          <w:b/>
          <w:sz w:val="22"/>
          <w:szCs w:val="22"/>
        </w:rPr>
      </w:pPr>
    </w:p>
    <w:tbl>
      <w:tblPr>
        <w:tblW w:w="9435" w:type="dxa"/>
        <w:tblLook w:val="04A0"/>
      </w:tblPr>
      <w:tblGrid>
        <w:gridCol w:w="8952"/>
        <w:gridCol w:w="483"/>
      </w:tblGrid>
      <w:tr w:rsidR="00A124D6" w:rsidRPr="00FD62A0" w:rsidTr="005C6545">
        <w:tc>
          <w:tcPr>
            <w:tcW w:w="8952" w:type="dxa"/>
          </w:tcPr>
          <w:p w:rsidR="00A124D6" w:rsidRPr="00FD62A0" w:rsidRDefault="00A124D6" w:rsidP="00BF4427">
            <w:pPr>
              <w:spacing w:line="360" w:lineRule="auto"/>
              <w:rPr>
                <w:rFonts w:ascii="Arial" w:hAnsi="Arial" w:cs="Arial"/>
                <w:sz w:val="22"/>
                <w:szCs w:val="22"/>
              </w:rPr>
            </w:pPr>
            <w:r w:rsidRPr="00FD62A0">
              <w:rPr>
                <w:rFonts w:ascii="Arial" w:hAnsi="Arial" w:cs="Arial"/>
                <w:sz w:val="22"/>
                <w:szCs w:val="22"/>
              </w:rPr>
              <w:t>Gráfico 3.1. Perfil das vítimas segundo as denúncias..............................................</w:t>
            </w:r>
          </w:p>
        </w:tc>
        <w:tc>
          <w:tcPr>
            <w:tcW w:w="483" w:type="dxa"/>
          </w:tcPr>
          <w:p w:rsidR="00A124D6" w:rsidRPr="00FD62A0" w:rsidRDefault="00432583" w:rsidP="00BF4427">
            <w:pPr>
              <w:spacing w:line="360" w:lineRule="auto"/>
              <w:jc w:val="center"/>
              <w:rPr>
                <w:rFonts w:ascii="Arial" w:hAnsi="Arial" w:cs="Arial"/>
                <w:sz w:val="22"/>
                <w:szCs w:val="22"/>
              </w:rPr>
            </w:pPr>
            <w:r>
              <w:rPr>
                <w:rFonts w:ascii="Arial" w:hAnsi="Arial" w:cs="Arial"/>
                <w:sz w:val="22"/>
                <w:szCs w:val="22"/>
              </w:rPr>
              <w:t>4</w:t>
            </w:r>
            <w:r w:rsidR="001F3C3C">
              <w:rPr>
                <w:rFonts w:ascii="Arial" w:hAnsi="Arial" w:cs="Arial"/>
                <w:sz w:val="22"/>
                <w:szCs w:val="22"/>
              </w:rPr>
              <w:t>6</w:t>
            </w:r>
          </w:p>
        </w:tc>
      </w:tr>
      <w:tr w:rsidR="00A124D6" w:rsidRPr="00FD62A0" w:rsidTr="005C6545">
        <w:tc>
          <w:tcPr>
            <w:tcW w:w="8952" w:type="dxa"/>
          </w:tcPr>
          <w:p w:rsidR="00A124D6" w:rsidRPr="00FD62A0" w:rsidRDefault="00A124D6" w:rsidP="00BF4427">
            <w:pPr>
              <w:spacing w:line="360" w:lineRule="auto"/>
              <w:rPr>
                <w:rFonts w:ascii="Arial" w:hAnsi="Arial" w:cs="Arial"/>
                <w:b/>
                <w:sz w:val="22"/>
                <w:szCs w:val="22"/>
              </w:rPr>
            </w:pPr>
            <w:r w:rsidRPr="00FD62A0">
              <w:rPr>
                <w:rFonts w:ascii="Arial" w:hAnsi="Arial" w:cs="Arial"/>
                <w:sz w:val="22"/>
                <w:szCs w:val="22"/>
              </w:rPr>
              <w:t>Gráfico 3.2. Agressor Intrafamiliar:............................................................................</w:t>
            </w:r>
          </w:p>
        </w:tc>
        <w:tc>
          <w:tcPr>
            <w:tcW w:w="483" w:type="dxa"/>
          </w:tcPr>
          <w:p w:rsidR="00A124D6" w:rsidRPr="00FD62A0" w:rsidRDefault="00432583" w:rsidP="00BF4427">
            <w:pPr>
              <w:spacing w:line="360" w:lineRule="auto"/>
              <w:jc w:val="center"/>
              <w:rPr>
                <w:rFonts w:ascii="Arial" w:hAnsi="Arial" w:cs="Arial"/>
                <w:sz w:val="22"/>
                <w:szCs w:val="22"/>
              </w:rPr>
            </w:pPr>
            <w:r>
              <w:rPr>
                <w:rFonts w:ascii="Arial" w:hAnsi="Arial" w:cs="Arial"/>
                <w:sz w:val="22"/>
                <w:szCs w:val="22"/>
              </w:rPr>
              <w:t>4</w:t>
            </w:r>
            <w:r w:rsidR="001F3C3C">
              <w:rPr>
                <w:rFonts w:ascii="Arial" w:hAnsi="Arial" w:cs="Arial"/>
                <w:sz w:val="22"/>
                <w:szCs w:val="22"/>
              </w:rPr>
              <w:t>7</w:t>
            </w:r>
          </w:p>
        </w:tc>
      </w:tr>
      <w:tr w:rsidR="00A124D6" w:rsidRPr="00FD62A0" w:rsidTr="005C6545">
        <w:tc>
          <w:tcPr>
            <w:tcW w:w="8952" w:type="dxa"/>
          </w:tcPr>
          <w:p w:rsidR="00A124D6" w:rsidRPr="00FD62A0" w:rsidRDefault="00A124D6" w:rsidP="00BF4427">
            <w:pPr>
              <w:spacing w:line="360" w:lineRule="auto"/>
              <w:rPr>
                <w:rFonts w:ascii="Arial" w:hAnsi="Arial" w:cs="Arial"/>
                <w:sz w:val="22"/>
                <w:szCs w:val="22"/>
              </w:rPr>
            </w:pPr>
            <w:r w:rsidRPr="00FD62A0">
              <w:rPr>
                <w:rFonts w:ascii="Arial" w:hAnsi="Arial" w:cs="Arial"/>
                <w:sz w:val="22"/>
                <w:szCs w:val="22"/>
              </w:rPr>
              <w:t>Gráfico 3.3. Agressor Extrafamiliar............................................................................</w:t>
            </w:r>
          </w:p>
        </w:tc>
        <w:tc>
          <w:tcPr>
            <w:tcW w:w="483" w:type="dxa"/>
          </w:tcPr>
          <w:p w:rsidR="00A124D6" w:rsidRPr="00FD62A0" w:rsidRDefault="001F3C3C" w:rsidP="00BF4427">
            <w:pPr>
              <w:spacing w:line="360" w:lineRule="auto"/>
              <w:jc w:val="center"/>
              <w:rPr>
                <w:rFonts w:ascii="Arial" w:hAnsi="Arial" w:cs="Arial"/>
                <w:sz w:val="22"/>
                <w:szCs w:val="22"/>
              </w:rPr>
            </w:pPr>
            <w:r>
              <w:rPr>
                <w:rFonts w:ascii="Arial" w:hAnsi="Arial" w:cs="Arial"/>
                <w:sz w:val="22"/>
                <w:szCs w:val="22"/>
              </w:rPr>
              <w:t>47</w:t>
            </w:r>
          </w:p>
        </w:tc>
      </w:tr>
      <w:tr w:rsidR="00A124D6" w:rsidRPr="00FD62A0" w:rsidTr="005C6545">
        <w:tc>
          <w:tcPr>
            <w:tcW w:w="8952" w:type="dxa"/>
          </w:tcPr>
          <w:p w:rsidR="00A124D6" w:rsidRPr="00FD62A0" w:rsidRDefault="00A124D6" w:rsidP="00BF4427">
            <w:pPr>
              <w:spacing w:line="360" w:lineRule="auto"/>
              <w:rPr>
                <w:rFonts w:ascii="Arial" w:hAnsi="Arial" w:cs="Arial"/>
                <w:sz w:val="22"/>
                <w:szCs w:val="22"/>
              </w:rPr>
            </w:pPr>
            <w:r w:rsidRPr="00FD62A0">
              <w:rPr>
                <w:rFonts w:ascii="Arial" w:hAnsi="Arial" w:cs="Arial"/>
                <w:sz w:val="22"/>
                <w:szCs w:val="22"/>
              </w:rPr>
              <w:t>Gráfico 3.4. Agressor Intrafamiliar.............................................................................</w:t>
            </w:r>
          </w:p>
        </w:tc>
        <w:tc>
          <w:tcPr>
            <w:tcW w:w="483" w:type="dxa"/>
          </w:tcPr>
          <w:p w:rsidR="00A124D6" w:rsidRPr="00FD62A0" w:rsidRDefault="001F3C3C" w:rsidP="00BF4427">
            <w:pPr>
              <w:spacing w:line="360" w:lineRule="auto"/>
              <w:jc w:val="center"/>
              <w:rPr>
                <w:rFonts w:ascii="Arial" w:hAnsi="Arial" w:cs="Arial"/>
                <w:sz w:val="22"/>
                <w:szCs w:val="22"/>
              </w:rPr>
            </w:pPr>
            <w:r>
              <w:rPr>
                <w:rFonts w:ascii="Arial" w:hAnsi="Arial" w:cs="Arial"/>
                <w:sz w:val="22"/>
                <w:szCs w:val="22"/>
              </w:rPr>
              <w:t>48</w:t>
            </w:r>
          </w:p>
        </w:tc>
      </w:tr>
      <w:tr w:rsidR="00A124D6" w:rsidRPr="00FD62A0" w:rsidTr="005C6545">
        <w:tc>
          <w:tcPr>
            <w:tcW w:w="8952" w:type="dxa"/>
          </w:tcPr>
          <w:p w:rsidR="00A124D6" w:rsidRPr="00FD62A0" w:rsidRDefault="00354A78" w:rsidP="00354A78">
            <w:pPr>
              <w:spacing w:line="360" w:lineRule="auto"/>
              <w:rPr>
                <w:rFonts w:ascii="Arial" w:hAnsi="Arial" w:cs="Arial"/>
                <w:sz w:val="22"/>
                <w:szCs w:val="22"/>
              </w:rPr>
            </w:pPr>
            <w:r w:rsidRPr="00FD62A0">
              <w:rPr>
                <w:rFonts w:ascii="Arial" w:hAnsi="Arial" w:cs="Arial"/>
                <w:sz w:val="22"/>
                <w:szCs w:val="22"/>
              </w:rPr>
              <w:t>Gráfico 3.5. Perfil das vítimas no Estado do Ceará..................................................</w:t>
            </w:r>
          </w:p>
        </w:tc>
        <w:tc>
          <w:tcPr>
            <w:tcW w:w="483" w:type="dxa"/>
          </w:tcPr>
          <w:p w:rsidR="00A124D6" w:rsidRPr="00FD62A0" w:rsidRDefault="001F3C3C" w:rsidP="00BF4427">
            <w:pPr>
              <w:spacing w:line="360" w:lineRule="auto"/>
              <w:jc w:val="center"/>
              <w:rPr>
                <w:rFonts w:ascii="Arial" w:hAnsi="Arial" w:cs="Arial"/>
                <w:sz w:val="22"/>
                <w:szCs w:val="22"/>
              </w:rPr>
            </w:pPr>
            <w:r>
              <w:rPr>
                <w:rFonts w:ascii="Arial" w:hAnsi="Arial" w:cs="Arial"/>
                <w:sz w:val="22"/>
                <w:szCs w:val="22"/>
              </w:rPr>
              <w:t>50</w:t>
            </w:r>
          </w:p>
        </w:tc>
      </w:tr>
      <w:tr w:rsidR="00354A78" w:rsidRPr="00FD62A0" w:rsidTr="005C6545">
        <w:tc>
          <w:tcPr>
            <w:tcW w:w="8952" w:type="dxa"/>
          </w:tcPr>
          <w:p w:rsidR="00354A78" w:rsidRPr="00FD62A0" w:rsidRDefault="00354A78" w:rsidP="00CF04DE">
            <w:pPr>
              <w:spacing w:line="360" w:lineRule="auto"/>
              <w:rPr>
                <w:rFonts w:ascii="Arial" w:hAnsi="Arial" w:cs="Arial"/>
                <w:sz w:val="22"/>
                <w:szCs w:val="22"/>
              </w:rPr>
            </w:pPr>
            <w:r w:rsidRPr="00FD62A0">
              <w:rPr>
                <w:rFonts w:ascii="Arial" w:hAnsi="Arial" w:cs="Arial"/>
                <w:sz w:val="22"/>
                <w:szCs w:val="22"/>
              </w:rPr>
              <w:t>Gráfico 3.6. Motivos para a prostituição....................................................................</w:t>
            </w:r>
          </w:p>
        </w:tc>
        <w:tc>
          <w:tcPr>
            <w:tcW w:w="483" w:type="dxa"/>
          </w:tcPr>
          <w:p w:rsidR="00354A78" w:rsidRPr="00FD62A0" w:rsidRDefault="00432583" w:rsidP="00CF04DE">
            <w:pPr>
              <w:spacing w:line="360" w:lineRule="auto"/>
              <w:jc w:val="center"/>
              <w:rPr>
                <w:rFonts w:ascii="Arial" w:hAnsi="Arial" w:cs="Arial"/>
                <w:sz w:val="22"/>
                <w:szCs w:val="22"/>
              </w:rPr>
            </w:pPr>
            <w:r>
              <w:rPr>
                <w:rFonts w:ascii="Arial" w:hAnsi="Arial" w:cs="Arial"/>
                <w:sz w:val="22"/>
                <w:szCs w:val="22"/>
              </w:rPr>
              <w:t>5</w:t>
            </w:r>
            <w:r w:rsidR="001F3C3C">
              <w:rPr>
                <w:rFonts w:ascii="Arial" w:hAnsi="Arial" w:cs="Arial"/>
                <w:sz w:val="22"/>
                <w:szCs w:val="22"/>
              </w:rPr>
              <w:t>2</w:t>
            </w:r>
          </w:p>
        </w:tc>
      </w:tr>
      <w:tr w:rsidR="00354A78" w:rsidRPr="00FD62A0" w:rsidTr="005C6545">
        <w:tc>
          <w:tcPr>
            <w:tcW w:w="8952" w:type="dxa"/>
          </w:tcPr>
          <w:p w:rsidR="00354A78" w:rsidRPr="00FD62A0" w:rsidRDefault="00354A78" w:rsidP="00CF04DE">
            <w:pPr>
              <w:spacing w:line="360" w:lineRule="auto"/>
              <w:jc w:val="both"/>
              <w:rPr>
                <w:rFonts w:ascii="Arial" w:hAnsi="Arial" w:cs="Arial"/>
                <w:sz w:val="22"/>
                <w:szCs w:val="22"/>
              </w:rPr>
            </w:pPr>
            <w:r w:rsidRPr="00FD62A0">
              <w:rPr>
                <w:rFonts w:ascii="Arial" w:hAnsi="Arial" w:cs="Arial"/>
                <w:sz w:val="22"/>
                <w:szCs w:val="22"/>
                <w:lang/>
              </w:rPr>
              <w:t>Gráfico 4.1. Idade dos estudantes ViraVida..............................................................</w:t>
            </w:r>
          </w:p>
        </w:tc>
        <w:tc>
          <w:tcPr>
            <w:tcW w:w="483" w:type="dxa"/>
          </w:tcPr>
          <w:p w:rsidR="00354A78" w:rsidRPr="00FD62A0" w:rsidRDefault="00432583" w:rsidP="00CF04DE">
            <w:pPr>
              <w:spacing w:line="360" w:lineRule="auto"/>
              <w:jc w:val="center"/>
              <w:rPr>
                <w:rFonts w:ascii="Arial" w:hAnsi="Arial" w:cs="Arial"/>
                <w:sz w:val="22"/>
                <w:szCs w:val="22"/>
              </w:rPr>
            </w:pPr>
            <w:r>
              <w:rPr>
                <w:rFonts w:ascii="Arial" w:hAnsi="Arial" w:cs="Arial"/>
                <w:sz w:val="22"/>
                <w:szCs w:val="22"/>
              </w:rPr>
              <w:t>6</w:t>
            </w:r>
            <w:r w:rsidR="001F3C3C">
              <w:rPr>
                <w:rFonts w:ascii="Arial" w:hAnsi="Arial" w:cs="Arial"/>
                <w:sz w:val="22"/>
                <w:szCs w:val="22"/>
              </w:rPr>
              <w:t>3</w:t>
            </w:r>
          </w:p>
        </w:tc>
      </w:tr>
      <w:tr w:rsidR="00354A78" w:rsidRPr="00FD62A0" w:rsidTr="005C6545">
        <w:tc>
          <w:tcPr>
            <w:tcW w:w="8952" w:type="dxa"/>
          </w:tcPr>
          <w:p w:rsidR="00354A78" w:rsidRPr="00FD62A0" w:rsidRDefault="00354A78" w:rsidP="00CF04DE">
            <w:pPr>
              <w:spacing w:line="360" w:lineRule="auto"/>
              <w:rPr>
                <w:rFonts w:ascii="Arial" w:hAnsi="Arial" w:cs="Arial"/>
                <w:sz w:val="22"/>
                <w:szCs w:val="22"/>
              </w:rPr>
            </w:pPr>
            <w:r w:rsidRPr="00FD62A0">
              <w:rPr>
                <w:rFonts w:ascii="Arial" w:hAnsi="Arial" w:cs="Arial"/>
                <w:sz w:val="22"/>
                <w:szCs w:val="22"/>
                <w:lang/>
              </w:rPr>
              <w:t>Gráfico 4.2. Escolaridade dos estudantes ViraVida..................................................</w:t>
            </w:r>
          </w:p>
        </w:tc>
        <w:tc>
          <w:tcPr>
            <w:tcW w:w="483" w:type="dxa"/>
          </w:tcPr>
          <w:p w:rsidR="00354A78" w:rsidRPr="00FD62A0" w:rsidRDefault="00432583" w:rsidP="00CF04DE">
            <w:pPr>
              <w:spacing w:line="360" w:lineRule="auto"/>
              <w:jc w:val="center"/>
              <w:rPr>
                <w:rFonts w:ascii="Arial" w:hAnsi="Arial" w:cs="Arial"/>
                <w:sz w:val="22"/>
                <w:szCs w:val="22"/>
              </w:rPr>
            </w:pPr>
            <w:r>
              <w:rPr>
                <w:rFonts w:ascii="Arial" w:hAnsi="Arial" w:cs="Arial"/>
                <w:sz w:val="22"/>
                <w:szCs w:val="22"/>
              </w:rPr>
              <w:t>6</w:t>
            </w:r>
            <w:r w:rsidR="001F3C3C">
              <w:rPr>
                <w:rFonts w:ascii="Arial" w:hAnsi="Arial" w:cs="Arial"/>
                <w:sz w:val="22"/>
                <w:szCs w:val="22"/>
              </w:rPr>
              <w:t>4</w:t>
            </w:r>
          </w:p>
        </w:tc>
      </w:tr>
      <w:tr w:rsidR="00354A78" w:rsidRPr="00FD62A0" w:rsidTr="005C6545">
        <w:tc>
          <w:tcPr>
            <w:tcW w:w="8952" w:type="dxa"/>
          </w:tcPr>
          <w:p w:rsidR="00354A78" w:rsidRPr="00FD62A0" w:rsidRDefault="00354A78" w:rsidP="00CF04DE">
            <w:pPr>
              <w:widowControl w:val="0"/>
              <w:tabs>
                <w:tab w:val="left" w:pos="0"/>
              </w:tabs>
              <w:autoSpaceDE w:val="0"/>
              <w:autoSpaceDN w:val="0"/>
              <w:adjustRightInd w:val="0"/>
              <w:spacing w:line="360" w:lineRule="auto"/>
              <w:rPr>
                <w:rFonts w:ascii="Arial" w:hAnsi="Arial" w:cs="Arial"/>
                <w:sz w:val="22"/>
                <w:szCs w:val="22"/>
              </w:rPr>
            </w:pPr>
            <w:r w:rsidRPr="00FD62A0">
              <w:rPr>
                <w:rFonts w:ascii="Arial" w:hAnsi="Arial" w:cs="Arial"/>
                <w:sz w:val="22"/>
                <w:szCs w:val="22"/>
                <w:lang/>
              </w:rPr>
              <w:t>Gráfico 4.3. Inserção no mercado de trabalho ViraVida...........................................</w:t>
            </w:r>
          </w:p>
        </w:tc>
        <w:tc>
          <w:tcPr>
            <w:tcW w:w="483" w:type="dxa"/>
          </w:tcPr>
          <w:p w:rsidR="00354A78" w:rsidRPr="00FD62A0" w:rsidRDefault="001F3C3C" w:rsidP="00CF04DE">
            <w:pPr>
              <w:spacing w:line="360" w:lineRule="auto"/>
              <w:jc w:val="center"/>
              <w:rPr>
                <w:rFonts w:ascii="Arial" w:hAnsi="Arial" w:cs="Arial"/>
                <w:sz w:val="22"/>
                <w:szCs w:val="22"/>
              </w:rPr>
            </w:pPr>
            <w:r>
              <w:rPr>
                <w:rFonts w:ascii="Arial" w:hAnsi="Arial" w:cs="Arial"/>
                <w:sz w:val="22"/>
                <w:szCs w:val="22"/>
              </w:rPr>
              <w:t>74</w:t>
            </w:r>
          </w:p>
        </w:tc>
      </w:tr>
      <w:tr w:rsidR="00354A78" w:rsidRPr="00FD62A0" w:rsidTr="005C6545">
        <w:tc>
          <w:tcPr>
            <w:tcW w:w="8952" w:type="dxa"/>
          </w:tcPr>
          <w:p w:rsidR="00354A78" w:rsidRPr="00FD62A0" w:rsidRDefault="00354A78" w:rsidP="00CF04DE">
            <w:pPr>
              <w:widowControl w:val="0"/>
              <w:autoSpaceDE w:val="0"/>
              <w:autoSpaceDN w:val="0"/>
              <w:adjustRightInd w:val="0"/>
              <w:spacing w:line="360" w:lineRule="auto"/>
              <w:jc w:val="both"/>
              <w:rPr>
                <w:rFonts w:ascii="Arial" w:hAnsi="Arial" w:cs="Arial"/>
                <w:iCs/>
                <w:sz w:val="22"/>
                <w:szCs w:val="22"/>
              </w:rPr>
            </w:pPr>
            <w:r w:rsidRPr="00FD62A0">
              <w:rPr>
                <w:rFonts w:ascii="Arial" w:hAnsi="Arial" w:cs="Arial"/>
                <w:sz w:val="22"/>
                <w:szCs w:val="22"/>
                <w:lang/>
              </w:rPr>
              <w:t>Gráfico 4.4. Idade dos estudantes Turismo Sustentável e Infância..........................</w:t>
            </w:r>
          </w:p>
        </w:tc>
        <w:tc>
          <w:tcPr>
            <w:tcW w:w="483" w:type="dxa"/>
          </w:tcPr>
          <w:p w:rsidR="00354A78" w:rsidRPr="00FD62A0" w:rsidRDefault="00432583" w:rsidP="00CF04DE">
            <w:pPr>
              <w:spacing w:line="360" w:lineRule="auto"/>
              <w:jc w:val="center"/>
              <w:rPr>
                <w:rFonts w:ascii="Arial" w:hAnsi="Arial" w:cs="Arial"/>
                <w:sz w:val="22"/>
                <w:szCs w:val="22"/>
              </w:rPr>
            </w:pPr>
            <w:r>
              <w:rPr>
                <w:rFonts w:ascii="Arial" w:hAnsi="Arial" w:cs="Arial"/>
                <w:sz w:val="22"/>
                <w:szCs w:val="22"/>
              </w:rPr>
              <w:t>7</w:t>
            </w:r>
            <w:r w:rsidR="001F3C3C">
              <w:rPr>
                <w:rFonts w:ascii="Arial" w:hAnsi="Arial" w:cs="Arial"/>
                <w:sz w:val="22"/>
                <w:szCs w:val="22"/>
              </w:rPr>
              <w:t>6</w:t>
            </w:r>
          </w:p>
        </w:tc>
      </w:tr>
      <w:tr w:rsidR="00354A78" w:rsidRPr="00FD62A0" w:rsidTr="005C6545">
        <w:tc>
          <w:tcPr>
            <w:tcW w:w="8952" w:type="dxa"/>
          </w:tcPr>
          <w:p w:rsidR="00354A78" w:rsidRPr="00FD62A0" w:rsidRDefault="00354A78" w:rsidP="00CF04DE">
            <w:pPr>
              <w:widowControl w:val="0"/>
              <w:autoSpaceDE w:val="0"/>
              <w:autoSpaceDN w:val="0"/>
              <w:adjustRightInd w:val="0"/>
              <w:spacing w:line="360" w:lineRule="auto"/>
              <w:jc w:val="both"/>
              <w:rPr>
                <w:rFonts w:ascii="Arial" w:hAnsi="Arial" w:cs="Arial"/>
                <w:iCs/>
                <w:sz w:val="22"/>
                <w:szCs w:val="22"/>
              </w:rPr>
            </w:pPr>
            <w:r w:rsidRPr="00FD62A0">
              <w:rPr>
                <w:rFonts w:ascii="Arial" w:hAnsi="Arial" w:cs="Arial"/>
                <w:sz w:val="22"/>
                <w:szCs w:val="22"/>
                <w:lang/>
              </w:rPr>
              <w:t>Gráfico 4.5. Escolaridade dos estudantes Turismo Sustentável e Infância.............</w:t>
            </w:r>
          </w:p>
        </w:tc>
        <w:tc>
          <w:tcPr>
            <w:tcW w:w="483" w:type="dxa"/>
          </w:tcPr>
          <w:p w:rsidR="00354A78" w:rsidRPr="00FD62A0" w:rsidRDefault="00432583" w:rsidP="00CF04DE">
            <w:pPr>
              <w:spacing w:line="360" w:lineRule="auto"/>
              <w:jc w:val="center"/>
              <w:rPr>
                <w:rFonts w:ascii="Arial" w:hAnsi="Arial" w:cs="Arial"/>
                <w:sz w:val="22"/>
                <w:szCs w:val="22"/>
              </w:rPr>
            </w:pPr>
            <w:r>
              <w:rPr>
                <w:rFonts w:ascii="Arial" w:hAnsi="Arial" w:cs="Arial"/>
                <w:sz w:val="22"/>
                <w:szCs w:val="22"/>
              </w:rPr>
              <w:t>7</w:t>
            </w:r>
            <w:r w:rsidR="001F3C3C">
              <w:rPr>
                <w:rFonts w:ascii="Arial" w:hAnsi="Arial" w:cs="Arial"/>
                <w:sz w:val="22"/>
                <w:szCs w:val="22"/>
              </w:rPr>
              <w:t>6</w:t>
            </w:r>
          </w:p>
        </w:tc>
      </w:tr>
      <w:tr w:rsidR="00354A78" w:rsidRPr="00FD62A0" w:rsidTr="005C6545">
        <w:tc>
          <w:tcPr>
            <w:tcW w:w="8952" w:type="dxa"/>
          </w:tcPr>
          <w:p w:rsidR="00354A78" w:rsidRPr="00FD62A0" w:rsidRDefault="00354A78" w:rsidP="00CF04DE">
            <w:pPr>
              <w:widowControl w:val="0"/>
              <w:autoSpaceDE w:val="0"/>
              <w:autoSpaceDN w:val="0"/>
              <w:adjustRightInd w:val="0"/>
              <w:spacing w:line="360" w:lineRule="auto"/>
              <w:rPr>
                <w:rFonts w:ascii="Arial" w:hAnsi="Arial" w:cs="Arial"/>
                <w:iCs/>
                <w:sz w:val="22"/>
                <w:szCs w:val="22"/>
              </w:rPr>
            </w:pPr>
            <w:r w:rsidRPr="00FD62A0">
              <w:rPr>
                <w:rFonts w:ascii="Arial" w:hAnsi="Arial" w:cs="Arial"/>
                <w:sz w:val="22"/>
                <w:szCs w:val="22"/>
                <w:lang/>
              </w:rPr>
              <w:t>Gráfico 4.6. Distribuição dos cursos Turismo Sustentável e Infância.......................</w:t>
            </w:r>
          </w:p>
        </w:tc>
        <w:tc>
          <w:tcPr>
            <w:tcW w:w="483" w:type="dxa"/>
          </w:tcPr>
          <w:p w:rsidR="00354A78" w:rsidRPr="00FD62A0" w:rsidRDefault="00432583" w:rsidP="00CF04DE">
            <w:pPr>
              <w:spacing w:line="360" w:lineRule="auto"/>
              <w:jc w:val="center"/>
              <w:rPr>
                <w:rFonts w:ascii="Arial" w:hAnsi="Arial" w:cs="Arial"/>
                <w:sz w:val="22"/>
                <w:szCs w:val="22"/>
              </w:rPr>
            </w:pPr>
            <w:r>
              <w:rPr>
                <w:rFonts w:ascii="Arial" w:hAnsi="Arial" w:cs="Arial"/>
                <w:sz w:val="22"/>
                <w:szCs w:val="22"/>
              </w:rPr>
              <w:t>8</w:t>
            </w:r>
            <w:r w:rsidR="001F3C3C">
              <w:rPr>
                <w:rFonts w:ascii="Arial" w:hAnsi="Arial" w:cs="Arial"/>
                <w:sz w:val="22"/>
                <w:szCs w:val="22"/>
              </w:rPr>
              <w:t>0</w:t>
            </w:r>
          </w:p>
        </w:tc>
      </w:tr>
      <w:tr w:rsidR="00354A78" w:rsidRPr="00FD62A0" w:rsidTr="005C6545">
        <w:tc>
          <w:tcPr>
            <w:tcW w:w="8952" w:type="dxa"/>
          </w:tcPr>
          <w:p w:rsidR="00354A78" w:rsidRPr="00FD62A0" w:rsidRDefault="00354A78" w:rsidP="00CF04DE">
            <w:pPr>
              <w:widowControl w:val="0"/>
              <w:tabs>
                <w:tab w:val="left" w:pos="1575"/>
              </w:tabs>
              <w:autoSpaceDE w:val="0"/>
              <w:autoSpaceDN w:val="0"/>
              <w:adjustRightInd w:val="0"/>
              <w:spacing w:line="360" w:lineRule="auto"/>
              <w:jc w:val="both"/>
              <w:rPr>
                <w:rFonts w:ascii="Arial" w:hAnsi="Arial" w:cs="Arial"/>
                <w:iCs/>
                <w:sz w:val="22"/>
                <w:szCs w:val="22"/>
              </w:rPr>
            </w:pPr>
            <w:r w:rsidRPr="00FD62A0">
              <w:rPr>
                <w:rFonts w:ascii="Arial" w:hAnsi="Arial" w:cs="Arial"/>
                <w:iCs/>
                <w:sz w:val="22"/>
                <w:szCs w:val="22"/>
              </w:rPr>
              <w:t>Gráfico 4.7. Conclusão dos cursos Turismo Sustentável e Infância.........................</w:t>
            </w:r>
          </w:p>
        </w:tc>
        <w:tc>
          <w:tcPr>
            <w:tcW w:w="483" w:type="dxa"/>
          </w:tcPr>
          <w:p w:rsidR="00354A78" w:rsidRPr="00FD62A0" w:rsidRDefault="00432583" w:rsidP="00CF04DE">
            <w:pPr>
              <w:spacing w:line="360" w:lineRule="auto"/>
              <w:jc w:val="center"/>
              <w:rPr>
                <w:rFonts w:ascii="Arial" w:hAnsi="Arial" w:cs="Arial"/>
                <w:sz w:val="22"/>
                <w:szCs w:val="22"/>
              </w:rPr>
            </w:pPr>
            <w:r>
              <w:rPr>
                <w:rFonts w:ascii="Arial" w:hAnsi="Arial" w:cs="Arial"/>
                <w:sz w:val="22"/>
                <w:szCs w:val="22"/>
              </w:rPr>
              <w:t>8</w:t>
            </w:r>
            <w:r w:rsidR="001F3C3C">
              <w:rPr>
                <w:rFonts w:ascii="Arial" w:hAnsi="Arial" w:cs="Arial"/>
                <w:sz w:val="22"/>
                <w:szCs w:val="22"/>
              </w:rPr>
              <w:t>0</w:t>
            </w:r>
          </w:p>
        </w:tc>
      </w:tr>
    </w:tbl>
    <w:p w:rsidR="00A124D6" w:rsidRPr="00FD62A0" w:rsidRDefault="00A124D6" w:rsidP="00BF4427">
      <w:pPr>
        <w:spacing w:line="360" w:lineRule="auto"/>
        <w:jc w:val="center"/>
        <w:rPr>
          <w:rFonts w:ascii="Arial" w:hAnsi="Arial" w:cs="Arial"/>
          <w:b/>
          <w:sz w:val="22"/>
          <w:szCs w:val="22"/>
        </w:rPr>
      </w:pPr>
    </w:p>
    <w:p w:rsidR="00A124D6" w:rsidRPr="00FD62A0" w:rsidRDefault="00A124D6"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2A1169" w:rsidRDefault="002A1169" w:rsidP="00BF4427">
      <w:pPr>
        <w:spacing w:line="360" w:lineRule="auto"/>
        <w:jc w:val="center"/>
        <w:rPr>
          <w:rFonts w:ascii="Arial" w:hAnsi="Arial" w:cs="Arial"/>
          <w:b/>
          <w:sz w:val="22"/>
          <w:szCs w:val="22"/>
        </w:rPr>
      </w:pPr>
    </w:p>
    <w:p w:rsidR="00FD62A0" w:rsidRDefault="00FD62A0" w:rsidP="00BF4427">
      <w:pPr>
        <w:spacing w:line="360" w:lineRule="auto"/>
        <w:jc w:val="center"/>
        <w:rPr>
          <w:rFonts w:ascii="Arial" w:hAnsi="Arial" w:cs="Arial"/>
          <w:b/>
          <w:sz w:val="22"/>
          <w:szCs w:val="22"/>
        </w:rPr>
      </w:pPr>
    </w:p>
    <w:p w:rsidR="00FD62A0" w:rsidRDefault="00FD62A0" w:rsidP="00BF4427">
      <w:pPr>
        <w:spacing w:line="360" w:lineRule="auto"/>
        <w:jc w:val="center"/>
        <w:rPr>
          <w:rFonts w:ascii="Arial" w:hAnsi="Arial" w:cs="Arial"/>
          <w:b/>
          <w:sz w:val="22"/>
          <w:szCs w:val="22"/>
        </w:rPr>
      </w:pPr>
    </w:p>
    <w:p w:rsidR="00FD62A0" w:rsidRDefault="00FD62A0" w:rsidP="00BF4427">
      <w:pPr>
        <w:spacing w:line="360" w:lineRule="auto"/>
        <w:jc w:val="center"/>
        <w:rPr>
          <w:rFonts w:ascii="Arial" w:hAnsi="Arial" w:cs="Arial"/>
          <w:b/>
          <w:sz w:val="22"/>
          <w:szCs w:val="22"/>
        </w:rPr>
      </w:pPr>
    </w:p>
    <w:p w:rsidR="00462084" w:rsidRDefault="00462084" w:rsidP="00BF4427">
      <w:pPr>
        <w:spacing w:line="360" w:lineRule="auto"/>
        <w:jc w:val="center"/>
        <w:rPr>
          <w:rFonts w:ascii="Arial" w:hAnsi="Arial" w:cs="Arial"/>
          <w:b/>
          <w:sz w:val="22"/>
          <w:szCs w:val="22"/>
        </w:rPr>
      </w:pPr>
    </w:p>
    <w:p w:rsidR="00FD62A0" w:rsidRPr="00FD62A0" w:rsidRDefault="00FD62A0"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r w:rsidRPr="00FD62A0">
        <w:rPr>
          <w:rFonts w:ascii="Arial" w:hAnsi="Arial" w:cs="Arial"/>
          <w:b/>
          <w:sz w:val="22"/>
          <w:szCs w:val="22"/>
        </w:rPr>
        <w:t>GLOSSÁRIO DE SIGLAS</w:t>
      </w:r>
    </w:p>
    <w:p w:rsidR="00462084" w:rsidRPr="00FD62A0" w:rsidRDefault="00462084" w:rsidP="00BF4427">
      <w:pPr>
        <w:spacing w:line="360" w:lineRule="auto"/>
        <w:jc w:val="center"/>
        <w:rPr>
          <w:rFonts w:ascii="Arial" w:hAnsi="Arial" w:cs="Arial"/>
          <w:b/>
          <w:sz w:val="22"/>
          <w:szCs w:val="22"/>
        </w:rPr>
      </w:pPr>
    </w:p>
    <w:p w:rsidR="00462084" w:rsidRPr="00FD62A0" w:rsidRDefault="00462084" w:rsidP="00BF4427">
      <w:pPr>
        <w:spacing w:line="360" w:lineRule="auto"/>
        <w:jc w:val="center"/>
        <w:rPr>
          <w:rFonts w:ascii="Arial" w:hAnsi="Arial" w:cs="Arial"/>
          <w:b/>
          <w:sz w:val="22"/>
          <w:szCs w:val="22"/>
        </w:rPr>
      </w:pPr>
    </w:p>
    <w:tbl>
      <w:tblPr>
        <w:tblW w:w="9322" w:type="dxa"/>
        <w:tblLook w:val="04A0"/>
      </w:tblPr>
      <w:tblGrid>
        <w:gridCol w:w="1590"/>
        <w:gridCol w:w="7732"/>
      </w:tblGrid>
      <w:tr w:rsidR="00DE68CB" w:rsidRPr="00FD62A0" w:rsidTr="00071350">
        <w:tc>
          <w:tcPr>
            <w:tcW w:w="1590" w:type="dxa"/>
          </w:tcPr>
          <w:p w:rsidR="00DE68CB" w:rsidRPr="00FD62A0" w:rsidRDefault="00DE68CB" w:rsidP="006C08AE">
            <w:pPr>
              <w:spacing w:line="360" w:lineRule="auto"/>
              <w:rPr>
                <w:rFonts w:ascii="Arial" w:hAnsi="Arial" w:cs="Arial"/>
                <w:b/>
                <w:sz w:val="22"/>
                <w:szCs w:val="22"/>
              </w:rPr>
            </w:pPr>
            <w:r w:rsidRPr="00FD62A0">
              <w:rPr>
                <w:rFonts w:ascii="Arial" w:hAnsi="Arial" w:cs="Arial"/>
                <w:b/>
                <w:sz w:val="22"/>
                <w:szCs w:val="22"/>
              </w:rPr>
              <w:t>BICE</w:t>
            </w:r>
          </w:p>
        </w:tc>
        <w:tc>
          <w:tcPr>
            <w:tcW w:w="7732" w:type="dxa"/>
          </w:tcPr>
          <w:p w:rsidR="00DE68CB" w:rsidRPr="00FD62A0" w:rsidRDefault="00DE68CB" w:rsidP="006C08AE">
            <w:pPr>
              <w:spacing w:line="360" w:lineRule="auto"/>
              <w:rPr>
                <w:rFonts w:ascii="Arial" w:hAnsi="Arial" w:cs="Arial"/>
                <w:sz w:val="22"/>
                <w:szCs w:val="22"/>
              </w:rPr>
            </w:pPr>
            <w:r w:rsidRPr="00FD62A0">
              <w:rPr>
                <w:rFonts w:ascii="Arial" w:hAnsi="Arial" w:cs="Arial"/>
                <w:sz w:val="22"/>
                <w:szCs w:val="22"/>
              </w:rPr>
              <w:t>Bureau International Catolique de l´enfant</w:t>
            </w:r>
          </w:p>
        </w:tc>
      </w:tr>
      <w:tr w:rsidR="00DE68CB" w:rsidRPr="00FD62A0" w:rsidTr="00071350">
        <w:tc>
          <w:tcPr>
            <w:tcW w:w="1590" w:type="dxa"/>
          </w:tcPr>
          <w:p w:rsidR="00DE68CB" w:rsidRPr="00FD62A0" w:rsidRDefault="00DE68CB" w:rsidP="006C08AE">
            <w:pPr>
              <w:spacing w:line="360" w:lineRule="auto"/>
              <w:rPr>
                <w:rFonts w:ascii="Arial" w:hAnsi="Arial" w:cs="Arial"/>
                <w:b/>
                <w:sz w:val="22"/>
                <w:szCs w:val="22"/>
              </w:rPr>
            </w:pPr>
            <w:r w:rsidRPr="00FD62A0">
              <w:rPr>
                <w:rFonts w:ascii="Arial" w:hAnsi="Arial" w:cs="Arial"/>
                <w:b/>
                <w:sz w:val="22"/>
                <w:szCs w:val="22"/>
              </w:rPr>
              <w:t>CECRIA</w:t>
            </w:r>
          </w:p>
        </w:tc>
        <w:tc>
          <w:tcPr>
            <w:tcW w:w="7732" w:type="dxa"/>
          </w:tcPr>
          <w:p w:rsidR="00DE68CB" w:rsidRPr="00FD62A0" w:rsidRDefault="00DE68CB" w:rsidP="006C08AE">
            <w:pPr>
              <w:spacing w:line="360" w:lineRule="auto"/>
              <w:rPr>
                <w:rFonts w:ascii="Arial" w:hAnsi="Arial" w:cs="Arial"/>
                <w:sz w:val="22"/>
                <w:szCs w:val="22"/>
              </w:rPr>
            </w:pPr>
            <w:r w:rsidRPr="00FD62A0">
              <w:rPr>
                <w:rFonts w:ascii="Arial" w:hAnsi="Arial" w:cs="Arial"/>
                <w:sz w:val="22"/>
                <w:szCs w:val="22"/>
              </w:rPr>
              <w:t>Centro de Referência, Estudos e Ações sobre Crianças e Adolescentes</w:t>
            </w:r>
          </w:p>
        </w:tc>
      </w:tr>
      <w:tr w:rsidR="00DE68CB" w:rsidRPr="00FD62A0" w:rsidTr="00071350">
        <w:tc>
          <w:tcPr>
            <w:tcW w:w="1590" w:type="dxa"/>
          </w:tcPr>
          <w:p w:rsidR="00DE68CB" w:rsidRPr="00FD62A0" w:rsidRDefault="00DE68CB" w:rsidP="006C08AE">
            <w:pPr>
              <w:spacing w:line="360" w:lineRule="auto"/>
              <w:rPr>
                <w:rFonts w:ascii="Arial" w:hAnsi="Arial" w:cs="Arial"/>
                <w:b/>
                <w:sz w:val="22"/>
                <w:szCs w:val="22"/>
              </w:rPr>
            </w:pPr>
            <w:r w:rsidRPr="00FD62A0">
              <w:rPr>
                <w:rFonts w:ascii="Arial" w:hAnsi="Arial" w:cs="Arial"/>
                <w:b/>
                <w:sz w:val="22"/>
                <w:szCs w:val="22"/>
              </w:rPr>
              <w:t>CEDECA</w:t>
            </w:r>
          </w:p>
        </w:tc>
        <w:tc>
          <w:tcPr>
            <w:tcW w:w="7732" w:type="dxa"/>
          </w:tcPr>
          <w:p w:rsidR="00DE68CB" w:rsidRPr="00FD62A0" w:rsidRDefault="00DE68CB" w:rsidP="006C08AE">
            <w:pPr>
              <w:spacing w:line="360" w:lineRule="auto"/>
              <w:rPr>
                <w:rFonts w:ascii="Arial" w:hAnsi="Arial" w:cs="Arial"/>
                <w:sz w:val="22"/>
                <w:szCs w:val="22"/>
              </w:rPr>
            </w:pPr>
            <w:r w:rsidRPr="00FD62A0">
              <w:rPr>
                <w:rFonts w:ascii="Arial" w:hAnsi="Arial" w:cs="Arial"/>
                <w:sz w:val="22"/>
                <w:szCs w:val="22"/>
              </w:rPr>
              <w:t>Centro de Defesa da Criança e do Adolescente</w:t>
            </w:r>
          </w:p>
        </w:tc>
      </w:tr>
      <w:tr w:rsidR="00DE68CB" w:rsidRPr="00FD62A0" w:rsidTr="00071350">
        <w:tc>
          <w:tcPr>
            <w:tcW w:w="1590" w:type="dxa"/>
          </w:tcPr>
          <w:p w:rsidR="00DE68CB" w:rsidRPr="00FD62A0" w:rsidRDefault="00DE68CB" w:rsidP="006C08AE">
            <w:pPr>
              <w:spacing w:line="360" w:lineRule="auto"/>
              <w:rPr>
                <w:rFonts w:ascii="Arial" w:hAnsi="Arial" w:cs="Arial"/>
                <w:b/>
                <w:sz w:val="22"/>
                <w:szCs w:val="22"/>
              </w:rPr>
            </w:pPr>
            <w:r w:rsidRPr="00FD62A0">
              <w:rPr>
                <w:rFonts w:ascii="Arial" w:hAnsi="Arial" w:cs="Arial"/>
                <w:b/>
                <w:sz w:val="22"/>
                <w:szCs w:val="22"/>
              </w:rPr>
              <w:t>CGU</w:t>
            </w:r>
          </w:p>
        </w:tc>
        <w:tc>
          <w:tcPr>
            <w:tcW w:w="7732" w:type="dxa"/>
          </w:tcPr>
          <w:p w:rsidR="00DE68CB" w:rsidRPr="00FD62A0" w:rsidRDefault="00DE68CB" w:rsidP="006C08AE">
            <w:pPr>
              <w:spacing w:line="360" w:lineRule="auto"/>
              <w:rPr>
                <w:rFonts w:ascii="Arial" w:hAnsi="Arial" w:cs="Arial"/>
                <w:sz w:val="22"/>
                <w:szCs w:val="22"/>
              </w:rPr>
            </w:pPr>
            <w:r w:rsidRPr="00FD62A0">
              <w:rPr>
                <w:rFonts w:ascii="Arial" w:hAnsi="Arial" w:cs="Arial"/>
                <w:sz w:val="22"/>
                <w:szCs w:val="22"/>
              </w:rPr>
              <w:t>Controladoria Geral da União</w:t>
            </w:r>
          </w:p>
        </w:tc>
      </w:tr>
      <w:tr w:rsidR="00DE68CB" w:rsidRPr="00FD62A0" w:rsidTr="00071350">
        <w:tc>
          <w:tcPr>
            <w:tcW w:w="1590" w:type="dxa"/>
          </w:tcPr>
          <w:p w:rsidR="00DE68CB" w:rsidRPr="00FD62A0" w:rsidRDefault="00DE68CB" w:rsidP="006C08AE">
            <w:pPr>
              <w:spacing w:line="360" w:lineRule="auto"/>
              <w:rPr>
                <w:rFonts w:ascii="Arial" w:hAnsi="Arial" w:cs="Arial"/>
                <w:b/>
                <w:sz w:val="22"/>
                <w:szCs w:val="22"/>
              </w:rPr>
            </w:pPr>
            <w:r w:rsidRPr="00FD62A0">
              <w:rPr>
                <w:rFonts w:ascii="Arial" w:hAnsi="Arial" w:cs="Arial"/>
                <w:b/>
                <w:sz w:val="22"/>
                <w:szCs w:val="22"/>
              </w:rPr>
              <w:t>CNC</w:t>
            </w:r>
          </w:p>
        </w:tc>
        <w:tc>
          <w:tcPr>
            <w:tcW w:w="7732" w:type="dxa"/>
          </w:tcPr>
          <w:p w:rsidR="00DE68CB" w:rsidRPr="00FD62A0" w:rsidRDefault="00DE68CB" w:rsidP="006C08AE">
            <w:pPr>
              <w:spacing w:line="360" w:lineRule="auto"/>
              <w:rPr>
                <w:rFonts w:ascii="Arial" w:hAnsi="Arial" w:cs="Arial"/>
                <w:sz w:val="22"/>
                <w:szCs w:val="22"/>
              </w:rPr>
            </w:pPr>
            <w:r w:rsidRPr="00FD62A0">
              <w:rPr>
                <w:rFonts w:ascii="Arial" w:hAnsi="Arial" w:cs="Arial"/>
                <w:sz w:val="22"/>
                <w:szCs w:val="22"/>
              </w:rPr>
              <w:t>Confederação Nacional do Comércio</w:t>
            </w:r>
          </w:p>
        </w:tc>
      </w:tr>
      <w:tr w:rsidR="00DE68CB" w:rsidRPr="00FD62A0" w:rsidTr="00071350">
        <w:tc>
          <w:tcPr>
            <w:tcW w:w="1590" w:type="dxa"/>
          </w:tcPr>
          <w:p w:rsidR="00DE68CB" w:rsidRPr="00FD62A0" w:rsidRDefault="00164EB3" w:rsidP="006C08AE">
            <w:pPr>
              <w:spacing w:line="360" w:lineRule="auto"/>
              <w:rPr>
                <w:rFonts w:ascii="Arial" w:hAnsi="Arial" w:cs="Arial"/>
                <w:b/>
                <w:sz w:val="22"/>
                <w:szCs w:val="22"/>
              </w:rPr>
            </w:pPr>
            <w:r w:rsidRPr="00FD62A0">
              <w:rPr>
                <w:rFonts w:ascii="Arial" w:hAnsi="Arial" w:cs="Arial"/>
                <w:b/>
                <w:sz w:val="22"/>
                <w:szCs w:val="22"/>
              </w:rPr>
              <w:t>EMBRATUR</w:t>
            </w:r>
          </w:p>
        </w:tc>
        <w:tc>
          <w:tcPr>
            <w:tcW w:w="7732" w:type="dxa"/>
          </w:tcPr>
          <w:p w:rsidR="00DE68CB" w:rsidRPr="00FD62A0" w:rsidRDefault="00711D49" w:rsidP="006C08AE">
            <w:pPr>
              <w:spacing w:line="360" w:lineRule="auto"/>
              <w:rPr>
                <w:rFonts w:ascii="Arial" w:hAnsi="Arial" w:cs="Arial"/>
                <w:sz w:val="22"/>
                <w:szCs w:val="22"/>
              </w:rPr>
            </w:pPr>
            <w:r w:rsidRPr="00FD62A0">
              <w:rPr>
                <w:rFonts w:ascii="Arial" w:hAnsi="Arial" w:cs="Arial"/>
                <w:sz w:val="22"/>
                <w:szCs w:val="22"/>
              </w:rPr>
              <w:t>Instituto Brasileiro de Turismo</w:t>
            </w:r>
          </w:p>
        </w:tc>
      </w:tr>
      <w:tr w:rsidR="00164EB3" w:rsidRPr="00FD62A0" w:rsidTr="00071350">
        <w:tc>
          <w:tcPr>
            <w:tcW w:w="1590" w:type="dxa"/>
          </w:tcPr>
          <w:p w:rsidR="00164EB3" w:rsidRPr="00FD62A0" w:rsidRDefault="00164EB3" w:rsidP="006C08AE">
            <w:pPr>
              <w:spacing w:line="360" w:lineRule="auto"/>
              <w:rPr>
                <w:rFonts w:ascii="Arial" w:hAnsi="Arial" w:cs="Arial"/>
                <w:b/>
                <w:sz w:val="22"/>
                <w:szCs w:val="22"/>
              </w:rPr>
            </w:pPr>
            <w:r w:rsidRPr="00FD62A0">
              <w:rPr>
                <w:rFonts w:ascii="Arial" w:hAnsi="Arial" w:cs="Arial"/>
                <w:b/>
                <w:sz w:val="22"/>
                <w:szCs w:val="22"/>
              </w:rPr>
              <w:t>ESCCA</w:t>
            </w:r>
          </w:p>
        </w:tc>
        <w:tc>
          <w:tcPr>
            <w:tcW w:w="7732" w:type="dxa"/>
          </w:tcPr>
          <w:p w:rsidR="00164EB3" w:rsidRPr="00FD62A0" w:rsidRDefault="00164EB3" w:rsidP="006C08AE">
            <w:pPr>
              <w:spacing w:line="360" w:lineRule="auto"/>
              <w:rPr>
                <w:rFonts w:ascii="Arial" w:hAnsi="Arial" w:cs="Arial"/>
                <w:sz w:val="22"/>
                <w:szCs w:val="22"/>
              </w:rPr>
            </w:pPr>
            <w:r w:rsidRPr="00FD62A0">
              <w:rPr>
                <w:rFonts w:ascii="Arial" w:hAnsi="Arial" w:cs="Arial"/>
                <w:sz w:val="22"/>
                <w:szCs w:val="22"/>
              </w:rPr>
              <w:t>Exploração Sexual Comercial de Crianças e Adolescentes</w:t>
            </w:r>
          </w:p>
        </w:tc>
      </w:tr>
      <w:tr w:rsidR="00164EB3" w:rsidRPr="00FD62A0" w:rsidTr="00071350">
        <w:tc>
          <w:tcPr>
            <w:tcW w:w="1590" w:type="dxa"/>
          </w:tcPr>
          <w:p w:rsidR="00164EB3" w:rsidRPr="00FD62A0" w:rsidRDefault="00164EB3" w:rsidP="006C08AE">
            <w:pPr>
              <w:spacing w:line="360" w:lineRule="auto"/>
              <w:rPr>
                <w:rFonts w:ascii="Arial" w:hAnsi="Arial" w:cs="Arial"/>
                <w:b/>
                <w:sz w:val="22"/>
                <w:szCs w:val="22"/>
              </w:rPr>
            </w:pPr>
            <w:r w:rsidRPr="00FD62A0">
              <w:rPr>
                <w:rFonts w:ascii="Arial" w:hAnsi="Arial" w:cs="Arial"/>
                <w:b/>
                <w:sz w:val="22"/>
                <w:szCs w:val="22"/>
              </w:rPr>
              <w:t>FMI</w:t>
            </w:r>
          </w:p>
        </w:tc>
        <w:tc>
          <w:tcPr>
            <w:tcW w:w="7732" w:type="dxa"/>
          </w:tcPr>
          <w:p w:rsidR="00164EB3" w:rsidRPr="00FD62A0" w:rsidRDefault="00164EB3" w:rsidP="006C08AE">
            <w:pPr>
              <w:spacing w:line="360" w:lineRule="auto"/>
              <w:rPr>
                <w:rFonts w:ascii="Arial" w:hAnsi="Arial" w:cs="Arial"/>
                <w:sz w:val="22"/>
                <w:szCs w:val="22"/>
              </w:rPr>
            </w:pPr>
            <w:r w:rsidRPr="00FD62A0">
              <w:rPr>
                <w:rFonts w:ascii="Arial" w:hAnsi="Arial" w:cs="Arial"/>
                <w:sz w:val="22"/>
                <w:szCs w:val="22"/>
              </w:rPr>
              <w:t>Fundo Monetário Internacional</w:t>
            </w:r>
          </w:p>
        </w:tc>
      </w:tr>
      <w:tr w:rsidR="00164EB3" w:rsidRPr="00FD62A0" w:rsidTr="00071350">
        <w:tc>
          <w:tcPr>
            <w:tcW w:w="1590" w:type="dxa"/>
          </w:tcPr>
          <w:p w:rsidR="00164EB3" w:rsidRPr="00FD62A0" w:rsidRDefault="00164EB3" w:rsidP="006C08AE">
            <w:pPr>
              <w:spacing w:line="360" w:lineRule="auto"/>
              <w:rPr>
                <w:rFonts w:ascii="Arial" w:hAnsi="Arial" w:cs="Arial"/>
                <w:b/>
                <w:sz w:val="22"/>
                <w:szCs w:val="22"/>
              </w:rPr>
            </w:pPr>
            <w:r w:rsidRPr="00FD62A0">
              <w:rPr>
                <w:rFonts w:ascii="Arial" w:hAnsi="Arial" w:cs="Arial"/>
                <w:b/>
                <w:sz w:val="22"/>
                <w:szCs w:val="22"/>
              </w:rPr>
              <w:t>IBGE</w:t>
            </w:r>
          </w:p>
        </w:tc>
        <w:tc>
          <w:tcPr>
            <w:tcW w:w="7732" w:type="dxa"/>
          </w:tcPr>
          <w:p w:rsidR="00164EB3" w:rsidRPr="00FD62A0" w:rsidRDefault="00164EB3" w:rsidP="006C08AE">
            <w:pPr>
              <w:spacing w:line="360" w:lineRule="auto"/>
              <w:rPr>
                <w:rFonts w:ascii="Arial" w:hAnsi="Arial" w:cs="Arial"/>
                <w:sz w:val="22"/>
                <w:szCs w:val="22"/>
              </w:rPr>
            </w:pPr>
            <w:r w:rsidRPr="00FD62A0">
              <w:rPr>
                <w:rFonts w:ascii="Arial" w:hAnsi="Arial" w:cs="Arial"/>
                <w:sz w:val="22"/>
                <w:szCs w:val="22"/>
              </w:rPr>
              <w:t>Instituto Brasileiro de Geografia e Estatística</w:t>
            </w:r>
          </w:p>
        </w:tc>
      </w:tr>
      <w:tr w:rsidR="00164EB3" w:rsidRPr="00FD62A0" w:rsidTr="00071350">
        <w:tc>
          <w:tcPr>
            <w:tcW w:w="1590" w:type="dxa"/>
          </w:tcPr>
          <w:p w:rsidR="00164EB3" w:rsidRPr="00FD62A0" w:rsidRDefault="00164EB3" w:rsidP="006C08AE">
            <w:pPr>
              <w:spacing w:line="360" w:lineRule="auto"/>
              <w:rPr>
                <w:rFonts w:ascii="Arial" w:hAnsi="Arial" w:cs="Arial"/>
                <w:b/>
                <w:sz w:val="22"/>
                <w:szCs w:val="22"/>
              </w:rPr>
            </w:pPr>
            <w:r w:rsidRPr="00FD62A0">
              <w:rPr>
                <w:rFonts w:ascii="Arial" w:hAnsi="Arial" w:cs="Arial"/>
                <w:b/>
                <w:sz w:val="22"/>
                <w:szCs w:val="22"/>
              </w:rPr>
              <w:t>IEL</w:t>
            </w:r>
          </w:p>
        </w:tc>
        <w:tc>
          <w:tcPr>
            <w:tcW w:w="7732" w:type="dxa"/>
          </w:tcPr>
          <w:p w:rsidR="00164EB3" w:rsidRPr="00FD62A0" w:rsidRDefault="00164EB3" w:rsidP="006C08AE">
            <w:pPr>
              <w:spacing w:line="360" w:lineRule="auto"/>
              <w:rPr>
                <w:rFonts w:ascii="Arial" w:hAnsi="Arial" w:cs="Arial"/>
                <w:sz w:val="22"/>
                <w:szCs w:val="22"/>
              </w:rPr>
            </w:pPr>
            <w:r w:rsidRPr="00FD62A0">
              <w:rPr>
                <w:rFonts w:ascii="Arial" w:hAnsi="Arial" w:cs="Arial"/>
                <w:sz w:val="22"/>
                <w:szCs w:val="22"/>
              </w:rPr>
              <w:t>Instituto Euvaldo Lodi</w:t>
            </w:r>
          </w:p>
        </w:tc>
      </w:tr>
      <w:tr w:rsidR="00164EB3" w:rsidRPr="00FD62A0" w:rsidTr="00071350">
        <w:tc>
          <w:tcPr>
            <w:tcW w:w="1590" w:type="dxa"/>
          </w:tcPr>
          <w:p w:rsidR="00164EB3" w:rsidRPr="00FD62A0" w:rsidRDefault="00164EB3" w:rsidP="006C08AE">
            <w:pPr>
              <w:spacing w:line="360" w:lineRule="auto"/>
              <w:rPr>
                <w:rFonts w:ascii="Arial" w:hAnsi="Arial" w:cs="Arial"/>
                <w:b/>
                <w:sz w:val="22"/>
                <w:szCs w:val="22"/>
              </w:rPr>
            </w:pPr>
            <w:r w:rsidRPr="00FD62A0">
              <w:rPr>
                <w:rFonts w:ascii="Arial" w:hAnsi="Arial" w:cs="Arial"/>
                <w:b/>
                <w:sz w:val="22"/>
                <w:szCs w:val="22"/>
              </w:rPr>
              <w:t>INTERPOL</w:t>
            </w:r>
          </w:p>
        </w:tc>
        <w:tc>
          <w:tcPr>
            <w:tcW w:w="7732" w:type="dxa"/>
          </w:tcPr>
          <w:p w:rsidR="00164EB3" w:rsidRPr="00FD62A0" w:rsidRDefault="00711D49" w:rsidP="006C08AE">
            <w:pPr>
              <w:spacing w:line="360" w:lineRule="auto"/>
              <w:rPr>
                <w:rFonts w:ascii="Arial" w:hAnsi="Arial" w:cs="Arial"/>
                <w:sz w:val="22"/>
                <w:szCs w:val="22"/>
              </w:rPr>
            </w:pPr>
            <w:r w:rsidRPr="00FD62A0">
              <w:rPr>
                <w:rFonts w:ascii="Arial" w:hAnsi="Arial" w:cs="Arial"/>
                <w:sz w:val="22"/>
                <w:szCs w:val="22"/>
              </w:rPr>
              <w:t>Organização Internacional de Polícia Criminal</w:t>
            </w:r>
          </w:p>
        </w:tc>
      </w:tr>
      <w:tr w:rsidR="00164EB3" w:rsidRPr="00FD62A0" w:rsidTr="00071350">
        <w:tc>
          <w:tcPr>
            <w:tcW w:w="1590" w:type="dxa"/>
          </w:tcPr>
          <w:p w:rsidR="00164EB3" w:rsidRPr="00FD62A0" w:rsidRDefault="00164EB3" w:rsidP="006C08AE">
            <w:pPr>
              <w:spacing w:line="360" w:lineRule="auto"/>
              <w:rPr>
                <w:rFonts w:ascii="Arial" w:hAnsi="Arial" w:cs="Arial"/>
                <w:b/>
                <w:sz w:val="22"/>
                <w:szCs w:val="22"/>
              </w:rPr>
            </w:pPr>
            <w:r w:rsidRPr="00FD62A0">
              <w:rPr>
                <w:rFonts w:ascii="Arial" w:hAnsi="Arial" w:cs="Arial"/>
                <w:b/>
                <w:sz w:val="22"/>
                <w:szCs w:val="22"/>
              </w:rPr>
              <w:t>OIT</w:t>
            </w:r>
          </w:p>
        </w:tc>
        <w:tc>
          <w:tcPr>
            <w:tcW w:w="7732" w:type="dxa"/>
          </w:tcPr>
          <w:p w:rsidR="00164EB3" w:rsidRPr="00FD62A0" w:rsidRDefault="00164EB3" w:rsidP="006C08AE">
            <w:pPr>
              <w:spacing w:line="360" w:lineRule="auto"/>
              <w:rPr>
                <w:rFonts w:ascii="Arial" w:hAnsi="Arial" w:cs="Arial"/>
                <w:sz w:val="22"/>
                <w:szCs w:val="22"/>
              </w:rPr>
            </w:pPr>
            <w:r w:rsidRPr="00FD62A0">
              <w:rPr>
                <w:rFonts w:ascii="Arial" w:hAnsi="Arial" w:cs="Arial"/>
                <w:sz w:val="22"/>
                <w:szCs w:val="22"/>
              </w:rPr>
              <w:t>Organização Internacional do Trabalho</w:t>
            </w:r>
          </w:p>
        </w:tc>
      </w:tr>
      <w:tr w:rsidR="00164EB3" w:rsidRPr="00FD62A0" w:rsidTr="00071350">
        <w:tc>
          <w:tcPr>
            <w:tcW w:w="1590" w:type="dxa"/>
          </w:tcPr>
          <w:p w:rsidR="00164EB3" w:rsidRPr="00FD62A0" w:rsidRDefault="00CE4325" w:rsidP="006C08AE">
            <w:pPr>
              <w:spacing w:line="360" w:lineRule="auto"/>
              <w:rPr>
                <w:rFonts w:ascii="Arial" w:hAnsi="Arial" w:cs="Arial"/>
                <w:b/>
                <w:sz w:val="22"/>
                <w:szCs w:val="22"/>
              </w:rPr>
            </w:pPr>
            <w:r>
              <w:rPr>
                <w:rFonts w:ascii="Arial" w:hAnsi="Arial" w:cs="Arial"/>
                <w:b/>
                <w:sz w:val="22"/>
                <w:szCs w:val="22"/>
              </w:rPr>
              <w:t>OMS</w:t>
            </w:r>
          </w:p>
        </w:tc>
        <w:tc>
          <w:tcPr>
            <w:tcW w:w="7732" w:type="dxa"/>
          </w:tcPr>
          <w:p w:rsidR="00164EB3" w:rsidRPr="00FD62A0" w:rsidRDefault="00CE4325" w:rsidP="00CE4325">
            <w:pPr>
              <w:spacing w:line="360" w:lineRule="auto"/>
              <w:rPr>
                <w:rFonts w:ascii="Arial" w:hAnsi="Arial" w:cs="Arial"/>
                <w:sz w:val="22"/>
                <w:szCs w:val="22"/>
              </w:rPr>
            </w:pPr>
            <w:r w:rsidRPr="00FD62A0">
              <w:rPr>
                <w:rFonts w:ascii="Arial" w:hAnsi="Arial" w:cs="Arial"/>
                <w:sz w:val="22"/>
                <w:szCs w:val="22"/>
              </w:rPr>
              <w:t>Organização Mundial d</w:t>
            </w:r>
            <w:r>
              <w:rPr>
                <w:rFonts w:ascii="Arial" w:hAnsi="Arial" w:cs="Arial"/>
                <w:sz w:val="22"/>
                <w:szCs w:val="22"/>
              </w:rPr>
              <w:t>a Saúde</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OMT</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Organização Mundial do Turismo</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PESTRAF</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Pesquisa Sobre o Tráfico de Mulheres, Crianças e Adolescentes para fins de exploração sexual Comercial no Brasil</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PNUD</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Programa das Nações Unidas para o Desenvolvimento</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PPP</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Parcerias Público Privadas</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SEBRAE</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Serviço Brasileiro de Apoio às pequenas e médias empresas</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SENAC</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Serviço Nacional de Aprendizagem Comercial</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SENAI</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Serviço Nacional de Aprendizagem Industrial</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SENAR</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Serviço Nacional de Aprendizagem Rural</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SENAT</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Serviço Nacional de Aprendizagem em Transporte</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SESC</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Serviço Social do Comércio</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SESCOOP</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Serviço Nacional de Aprendizagem de Coorporativismo</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SESI</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Serviço Social da Indústria</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sidRPr="00FD62A0">
              <w:rPr>
                <w:rFonts w:ascii="Arial" w:hAnsi="Arial" w:cs="Arial"/>
                <w:b/>
                <w:sz w:val="22"/>
                <w:szCs w:val="22"/>
              </w:rPr>
              <w:t>TCU</w:t>
            </w:r>
          </w:p>
        </w:tc>
        <w:tc>
          <w:tcPr>
            <w:tcW w:w="7732" w:type="dxa"/>
          </w:tcPr>
          <w:p w:rsidR="00CE4325" w:rsidRPr="00FD62A0" w:rsidRDefault="00CE4325" w:rsidP="005F2A05">
            <w:pPr>
              <w:spacing w:line="360" w:lineRule="auto"/>
              <w:rPr>
                <w:rFonts w:ascii="Arial" w:hAnsi="Arial" w:cs="Arial"/>
                <w:sz w:val="22"/>
                <w:szCs w:val="22"/>
              </w:rPr>
            </w:pPr>
            <w:r w:rsidRPr="00FD62A0">
              <w:rPr>
                <w:rFonts w:ascii="Arial" w:hAnsi="Arial" w:cs="Arial"/>
                <w:sz w:val="22"/>
                <w:szCs w:val="22"/>
              </w:rPr>
              <w:t>Tribunal de Contas da União</w:t>
            </w:r>
          </w:p>
        </w:tc>
      </w:tr>
      <w:tr w:rsidR="00CE4325" w:rsidRPr="00FD62A0" w:rsidTr="00071350">
        <w:tc>
          <w:tcPr>
            <w:tcW w:w="1590" w:type="dxa"/>
          </w:tcPr>
          <w:p w:rsidR="00CE4325" w:rsidRPr="00FD62A0" w:rsidRDefault="00CE4325" w:rsidP="005F2A05">
            <w:pPr>
              <w:spacing w:line="360" w:lineRule="auto"/>
              <w:rPr>
                <w:rFonts w:ascii="Arial" w:hAnsi="Arial" w:cs="Arial"/>
                <w:b/>
                <w:sz w:val="22"/>
                <w:szCs w:val="22"/>
              </w:rPr>
            </w:pPr>
            <w:r>
              <w:rPr>
                <w:rFonts w:ascii="Arial" w:hAnsi="Arial" w:cs="Arial"/>
                <w:b/>
                <w:sz w:val="22"/>
                <w:szCs w:val="22"/>
              </w:rPr>
              <w:t>UNICEF</w:t>
            </w:r>
          </w:p>
        </w:tc>
        <w:tc>
          <w:tcPr>
            <w:tcW w:w="7732" w:type="dxa"/>
          </w:tcPr>
          <w:p w:rsidR="00CE4325" w:rsidRPr="00FD62A0" w:rsidRDefault="00CE4325" w:rsidP="005F2A05">
            <w:pPr>
              <w:spacing w:line="360" w:lineRule="auto"/>
              <w:rPr>
                <w:rFonts w:ascii="Arial" w:hAnsi="Arial" w:cs="Arial"/>
                <w:sz w:val="22"/>
                <w:szCs w:val="22"/>
              </w:rPr>
            </w:pPr>
            <w:r>
              <w:rPr>
                <w:rFonts w:ascii="Arial" w:hAnsi="Arial" w:cs="Arial"/>
                <w:sz w:val="22"/>
                <w:szCs w:val="22"/>
              </w:rPr>
              <w:t>Fundo das Nações Unidas para a Infância</w:t>
            </w:r>
          </w:p>
        </w:tc>
      </w:tr>
    </w:tbl>
    <w:p w:rsidR="00462084" w:rsidRPr="00FD62A0" w:rsidRDefault="00462084" w:rsidP="00BF4427">
      <w:pPr>
        <w:spacing w:line="360" w:lineRule="auto"/>
        <w:jc w:val="center"/>
        <w:rPr>
          <w:rFonts w:ascii="Arial" w:hAnsi="Arial" w:cs="Arial"/>
          <w:b/>
          <w:sz w:val="22"/>
          <w:szCs w:val="22"/>
        </w:rPr>
      </w:pPr>
    </w:p>
    <w:p w:rsidR="004111DB" w:rsidRPr="00FD62A0" w:rsidRDefault="004111DB" w:rsidP="00BF4427">
      <w:pPr>
        <w:spacing w:line="360" w:lineRule="auto"/>
        <w:jc w:val="center"/>
        <w:rPr>
          <w:rFonts w:ascii="Arial" w:hAnsi="Arial" w:cs="Arial"/>
          <w:b/>
          <w:sz w:val="22"/>
          <w:szCs w:val="22"/>
        </w:rPr>
        <w:sectPr w:rsidR="004111DB" w:rsidRPr="00FD62A0" w:rsidSect="00F05C88">
          <w:footerReference w:type="default" r:id="rId11"/>
          <w:pgSz w:w="11906" w:h="16838"/>
          <w:pgMar w:top="1474" w:right="1474" w:bottom="1474" w:left="1474" w:header="709" w:footer="709" w:gutter="0"/>
          <w:pgNumType w:fmt="lowerRoman" w:start="1"/>
          <w:cols w:space="708"/>
          <w:docGrid w:linePitch="360"/>
        </w:sectPr>
      </w:pPr>
    </w:p>
    <w:p w:rsidR="004111DB" w:rsidRPr="00FD62A0" w:rsidRDefault="004111DB" w:rsidP="00BF4427">
      <w:pPr>
        <w:spacing w:line="360" w:lineRule="auto"/>
        <w:jc w:val="both"/>
        <w:rPr>
          <w:rFonts w:ascii="Arial" w:hAnsi="Arial" w:cs="Arial"/>
          <w:b/>
          <w:sz w:val="22"/>
          <w:szCs w:val="22"/>
        </w:rPr>
      </w:pPr>
      <w:r w:rsidRPr="00FD62A0">
        <w:rPr>
          <w:rFonts w:ascii="Arial" w:hAnsi="Arial" w:cs="Arial"/>
          <w:b/>
          <w:sz w:val="22"/>
          <w:szCs w:val="22"/>
        </w:rPr>
        <w:lastRenderedPageBreak/>
        <w:t>INTRODUÇÃO</w:t>
      </w:r>
    </w:p>
    <w:p w:rsidR="004111DB" w:rsidRPr="00FD62A0" w:rsidRDefault="004111DB" w:rsidP="00BF4427">
      <w:pPr>
        <w:spacing w:line="360" w:lineRule="auto"/>
        <w:jc w:val="both"/>
        <w:rPr>
          <w:rFonts w:ascii="Arial" w:hAnsi="Arial" w:cs="Arial"/>
          <w:b/>
          <w:sz w:val="22"/>
          <w:szCs w:val="22"/>
        </w:rPr>
      </w:pPr>
    </w:p>
    <w:p w:rsidR="004111DB" w:rsidRPr="00FD62A0" w:rsidRDefault="004111DB" w:rsidP="00BF4427">
      <w:pPr>
        <w:spacing w:line="360" w:lineRule="auto"/>
        <w:jc w:val="both"/>
        <w:rPr>
          <w:rFonts w:ascii="Arial" w:hAnsi="Arial" w:cs="Arial"/>
          <w:sz w:val="22"/>
          <w:szCs w:val="22"/>
        </w:rPr>
      </w:pPr>
      <w:r w:rsidRPr="00FD62A0">
        <w:rPr>
          <w:rFonts w:ascii="Arial" w:hAnsi="Arial" w:cs="Arial"/>
          <w:sz w:val="22"/>
          <w:szCs w:val="22"/>
        </w:rPr>
        <w:t>Atualmente o cenário internacional é composto de diversos atores tornando-se cada vez mais complexo e dinâmico. Surgem frequentemente novos agentes como as empresas multinacionais, organizações não-governamentais, instituições supra-nacionais, assim como empresas nacionais fortes ou grupos organizados da sociedade civil que interagem entre si, criando uma rede crescente de ligações.</w:t>
      </w:r>
    </w:p>
    <w:p w:rsidR="004111DB" w:rsidRPr="00FD62A0" w:rsidRDefault="004111DB" w:rsidP="00BF4427">
      <w:pPr>
        <w:spacing w:line="360" w:lineRule="auto"/>
        <w:jc w:val="both"/>
        <w:rPr>
          <w:rFonts w:ascii="Arial" w:hAnsi="Arial" w:cs="Arial"/>
          <w:b/>
          <w:sz w:val="22"/>
          <w:szCs w:val="22"/>
        </w:rPr>
      </w:pPr>
      <w:r w:rsidRPr="00FD62A0">
        <w:rPr>
          <w:rFonts w:ascii="Arial" w:hAnsi="Arial" w:cs="Arial"/>
          <w:sz w:val="22"/>
          <w:szCs w:val="22"/>
        </w:rPr>
        <w:tab/>
        <w:t>Essa constante renovação ocorre em todas as áreas, como economia, política, cultura, e outras, devido principalmente ao acesso às informações, a democratização da comunicação, que propiciou uma elevação no nível de consciência e de exigência dos cidadãos. Da globalização decorre o processo de interdependência que marca as relações internacionais e nacionais atuais. Tal interdependência ocorre tanto no âmbito nacional, entre Estado, setor privado e sociedade, quanto entre os Estados</w:t>
      </w:r>
      <w:r w:rsidRPr="00FD62A0">
        <w:rPr>
          <w:rFonts w:ascii="Arial" w:hAnsi="Arial" w:cs="Arial"/>
          <w:b/>
          <w:sz w:val="22"/>
          <w:szCs w:val="22"/>
        </w:rPr>
        <w:t xml:space="preserve">. </w:t>
      </w:r>
    </w:p>
    <w:p w:rsidR="004111DB" w:rsidRPr="00FD62A0" w:rsidRDefault="004111DB" w:rsidP="00BF4427">
      <w:pPr>
        <w:spacing w:line="360" w:lineRule="auto"/>
        <w:ind w:firstLine="708"/>
        <w:jc w:val="both"/>
        <w:rPr>
          <w:rFonts w:ascii="Arial" w:hAnsi="Arial" w:cs="Arial"/>
          <w:sz w:val="22"/>
          <w:szCs w:val="22"/>
        </w:rPr>
      </w:pPr>
      <w:r w:rsidRPr="00FD62A0">
        <w:rPr>
          <w:rFonts w:ascii="Arial" w:hAnsi="Arial" w:cs="Arial"/>
          <w:sz w:val="22"/>
          <w:szCs w:val="22"/>
        </w:rPr>
        <w:t>Cabe ressaltar que com o surgimento deste processo, aumenta-se a vulnerabilidade dos agentes (instituições não-governamentais e empresas), uma vez que decisões tomadas por determinado ator afetam em maior ou menor grau os demais. Ou seja, tanto os agentes afetam o cenário internacional quanto este afeta os agentes. As fronteiras nacionais a partir deste processo tornam-se mais sutis, sendo que alguns autores como Immanuel Wallerstein afirmam que a tendência é de se criar um sistema-mundo, onde o sistema inter-estatal se transformaria em um sistema global. (Wallerstein, 1996)</w:t>
      </w:r>
    </w:p>
    <w:p w:rsidR="004111DB" w:rsidRPr="00FD62A0" w:rsidRDefault="004111DB" w:rsidP="00875DFE">
      <w:pPr>
        <w:spacing w:line="360" w:lineRule="auto"/>
        <w:jc w:val="both"/>
        <w:rPr>
          <w:rFonts w:ascii="Arial" w:hAnsi="Arial" w:cs="Arial"/>
          <w:sz w:val="22"/>
          <w:szCs w:val="22"/>
        </w:rPr>
      </w:pPr>
      <w:r w:rsidRPr="00FD62A0">
        <w:rPr>
          <w:rFonts w:ascii="Arial" w:hAnsi="Arial" w:cs="Arial"/>
          <w:sz w:val="22"/>
          <w:szCs w:val="22"/>
        </w:rPr>
        <w:tab/>
        <w:t>Nos Estados, a interdependência pode ser constatada principalmente na</w:t>
      </w:r>
      <w:r w:rsidR="00187B0A" w:rsidRPr="00FD62A0">
        <w:rPr>
          <w:rFonts w:ascii="Arial" w:hAnsi="Arial" w:cs="Arial"/>
          <w:sz w:val="22"/>
          <w:szCs w:val="22"/>
        </w:rPr>
        <w:t xml:space="preserve"> relação entre o setor público,</w:t>
      </w:r>
      <w:r w:rsidRPr="00FD62A0">
        <w:rPr>
          <w:rFonts w:ascii="Arial" w:hAnsi="Arial" w:cs="Arial"/>
          <w:sz w:val="22"/>
          <w:szCs w:val="22"/>
        </w:rPr>
        <w:t xml:space="preserve"> o setor privado</w:t>
      </w:r>
      <w:r w:rsidR="00187B0A" w:rsidRPr="00FD62A0">
        <w:rPr>
          <w:rFonts w:ascii="Arial" w:hAnsi="Arial" w:cs="Arial"/>
          <w:sz w:val="22"/>
          <w:szCs w:val="22"/>
        </w:rPr>
        <w:t xml:space="preserve"> e o setor cooperativo atrelado ao conceito de responsabilidade social</w:t>
      </w:r>
      <w:r w:rsidRPr="00FD62A0">
        <w:rPr>
          <w:rFonts w:ascii="Arial" w:hAnsi="Arial" w:cs="Arial"/>
          <w:sz w:val="22"/>
          <w:szCs w:val="22"/>
        </w:rPr>
        <w:t>. Atualmente, compete ao Estado assegurar o bem-estar da sociedade, e para tanto ele pode contar por vezes com o setor privado que amplia sua área de atuação, passando a agir em conjunto com o Estado. Um conjunto de fatores interrelacionados, como as crescentes demandas sociais, as lacunas na capacidade do Estado em atender essas demandas ora devido ao orçamento comprometido, ora por haver outras áreas prioritárias, assim como o interesse do setor privado em participar de ações em prol do desenvolvimento social propicia uma relação de co-responsabilidade e o surgimento de parcerias. A partir dessa relação causada pela necessidade estatal, surgem as parcerias</w:t>
      </w:r>
      <w:r w:rsidRPr="00FD62A0">
        <w:rPr>
          <w:rFonts w:ascii="Arial" w:hAnsi="Arial" w:cs="Arial"/>
          <w:b/>
          <w:sz w:val="22"/>
          <w:szCs w:val="22"/>
        </w:rPr>
        <w:t xml:space="preserve"> </w:t>
      </w:r>
      <w:r w:rsidRPr="00FD62A0">
        <w:rPr>
          <w:rFonts w:ascii="Arial" w:hAnsi="Arial" w:cs="Arial"/>
          <w:sz w:val="22"/>
          <w:szCs w:val="22"/>
        </w:rPr>
        <w:t xml:space="preserve">onde governo e setor privado passam a trabalhar juntos por determinado período. Esse trabalho conjunto se dá por meio de projetos em prol da sociedade. As referidas parcerias desenvolvem tanto projetos de infra-estrutura – como melhoria das estradas, construção de escolas ou hospitais, entre outros que requerem maior volume de verbas, sendo em geral propiciados pelas parcerias público-privadas – quanto projetos de cunho social tais como profissionalização, distribuição de alimentos, e outros que de modo geral são efetuados via convênios. </w:t>
      </w:r>
    </w:p>
    <w:p w:rsidR="00AF7742" w:rsidRPr="00FD62A0" w:rsidRDefault="004111DB" w:rsidP="00BF4427">
      <w:pPr>
        <w:spacing w:line="360" w:lineRule="auto"/>
        <w:jc w:val="both"/>
        <w:rPr>
          <w:rFonts w:ascii="Arial" w:hAnsi="Arial" w:cs="Arial"/>
          <w:sz w:val="22"/>
          <w:szCs w:val="22"/>
        </w:rPr>
      </w:pPr>
      <w:r w:rsidRPr="00FD62A0">
        <w:rPr>
          <w:rFonts w:ascii="Arial" w:hAnsi="Arial" w:cs="Arial"/>
          <w:sz w:val="22"/>
          <w:szCs w:val="22"/>
        </w:rPr>
        <w:lastRenderedPageBreak/>
        <w:tab/>
      </w:r>
      <w:r w:rsidR="00EC78DF" w:rsidRPr="00FD62A0">
        <w:rPr>
          <w:rFonts w:ascii="Arial" w:hAnsi="Arial" w:cs="Arial"/>
          <w:sz w:val="22"/>
          <w:szCs w:val="22"/>
        </w:rPr>
        <w:t xml:space="preserve">É com base neste cenário que se objetiva verificar a eficácia e eficiência dos Projetos de Enfrentamento da Exploração Sexual de Crianças e Adolescentes selecionados – </w:t>
      </w:r>
      <w:r w:rsidR="00C02187" w:rsidRPr="00FD62A0">
        <w:rPr>
          <w:rFonts w:ascii="Arial" w:hAnsi="Arial" w:cs="Arial"/>
          <w:sz w:val="22"/>
          <w:szCs w:val="22"/>
        </w:rPr>
        <w:t>ViraVida</w:t>
      </w:r>
      <w:r w:rsidR="00EC78DF" w:rsidRPr="00FD62A0">
        <w:rPr>
          <w:rFonts w:ascii="Arial" w:hAnsi="Arial" w:cs="Arial"/>
          <w:sz w:val="22"/>
          <w:szCs w:val="22"/>
        </w:rPr>
        <w:t xml:space="preserve"> e Turismo Sexual e Infância, dirigidos ao público carente</w:t>
      </w:r>
      <w:r w:rsidR="00AF7742" w:rsidRPr="00FD62A0">
        <w:rPr>
          <w:rFonts w:ascii="Arial" w:hAnsi="Arial" w:cs="Arial"/>
          <w:sz w:val="22"/>
          <w:szCs w:val="22"/>
        </w:rPr>
        <w:t xml:space="preserve">, ambos realizados em parceria por instituições públicas e privadas. O </w:t>
      </w:r>
      <w:r w:rsidR="00C02187" w:rsidRPr="00FD62A0">
        <w:rPr>
          <w:rFonts w:ascii="Arial" w:hAnsi="Arial" w:cs="Arial"/>
          <w:sz w:val="22"/>
          <w:szCs w:val="22"/>
        </w:rPr>
        <w:t>ViraVida</w:t>
      </w:r>
      <w:r w:rsidR="00AF7742" w:rsidRPr="00FD62A0">
        <w:rPr>
          <w:rFonts w:ascii="Arial" w:hAnsi="Arial" w:cs="Arial"/>
          <w:sz w:val="22"/>
          <w:szCs w:val="22"/>
        </w:rPr>
        <w:t xml:space="preserve"> é promovido pelo Serviço Social da Indústria (</w:t>
      </w:r>
      <w:r w:rsidR="002A1169" w:rsidRPr="00FD62A0">
        <w:rPr>
          <w:rFonts w:ascii="Arial" w:hAnsi="Arial" w:cs="Arial"/>
          <w:sz w:val="22"/>
          <w:szCs w:val="22"/>
        </w:rPr>
        <w:t>SESI</w:t>
      </w:r>
      <w:r w:rsidR="00AF7742" w:rsidRPr="00FD62A0">
        <w:rPr>
          <w:rFonts w:ascii="Arial" w:hAnsi="Arial" w:cs="Arial"/>
          <w:sz w:val="22"/>
          <w:szCs w:val="22"/>
        </w:rPr>
        <w:t xml:space="preserve">) — instituição pública de direito privado, sem fins lucrativos, auditado pelo Tribunal de Constas da União (TCU) e Controladoria Geral da União (CGU) — em parceria com outras instituições sociais e órgãos de governo que trabalham no atendimento a este segmento; e o “Turismo Sustentável e Infância”, do Ministério do Turismo, que é realizado em parceria com instituições educacionais e empresas do setor de turismo. </w:t>
      </w:r>
    </w:p>
    <w:p w:rsidR="00EC78DF" w:rsidRPr="00FD62A0" w:rsidRDefault="00AF7742" w:rsidP="00BF4427">
      <w:pPr>
        <w:spacing w:line="360" w:lineRule="auto"/>
        <w:ind w:firstLine="708"/>
        <w:jc w:val="both"/>
        <w:rPr>
          <w:rFonts w:ascii="Arial" w:hAnsi="Arial" w:cs="Arial"/>
          <w:sz w:val="22"/>
          <w:szCs w:val="22"/>
        </w:rPr>
      </w:pPr>
      <w:r w:rsidRPr="00FD62A0">
        <w:rPr>
          <w:rFonts w:ascii="Arial" w:hAnsi="Arial" w:cs="Arial"/>
          <w:sz w:val="22"/>
          <w:szCs w:val="22"/>
        </w:rPr>
        <w:t>Ambos são desenvolvidos no Brasil, focados no público de baixa renda e baixa escolaridade, realizados com recursos públicos e executados por empresas privadas. Os objetivos deste trabalho são analisar e apresen</w:t>
      </w:r>
      <w:r w:rsidR="00EC78DF" w:rsidRPr="00FD62A0">
        <w:rPr>
          <w:rFonts w:ascii="Arial" w:hAnsi="Arial" w:cs="Arial"/>
          <w:sz w:val="22"/>
          <w:szCs w:val="22"/>
        </w:rPr>
        <w:t xml:space="preserve">tar os métodos de estruturação e implantação dos projetos, seus resultados, seus efeitos sobre os estudantes, tanto educacionais quanto sociais, e além dos resultados ao final dos projetos. </w:t>
      </w:r>
    </w:p>
    <w:p w:rsidR="00B73DDE" w:rsidRPr="00FD62A0" w:rsidRDefault="00B73DDE" w:rsidP="00BF4427">
      <w:pPr>
        <w:spacing w:line="360" w:lineRule="auto"/>
        <w:ind w:firstLine="708"/>
        <w:jc w:val="both"/>
        <w:rPr>
          <w:rFonts w:ascii="Arial" w:hAnsi="Arial" w:cs="Arial"/>
          <w:sz w:val="22"/>
          <w:szCs w:val="22"/>
        </w:rPr>
      </w:pPr>
      <w:r w:rsidRPr="00FD62A0">
        <w:rPr>
          <w:rFonts w:ascii="Arial" w:hAnsi="Arial" w:cs="Arial"/>
          <w:sz w:val="22"/>
          <w:szCs w:val="22"/>
        </w:rPr>
        <w:t xml:space="preserve">Quanto à estruturação e implantação, a análise visa as etapas de realização de parcerias, capacitação de docentes, estruturação dos cursos, monitoramento dos alunos entre outras etapas. Em relação aos impactos sobre os estudantes e resultados do Projeto, busca-se analisar sua motivação, auto-estima, desempenho educacional, desenvolvimento de habilidades, satisfação dos empregadores, entre demais aspectos relacionados. Nesse sentido, são apontados as matrículas, desistências, inserção no mercado de trabalho, entre outros aspectos. </w:t>
      </w:r>
    </w:p>
    <w:p w:rsidR="00AF7742" w:rsidRPr="00FD62A0" w:rsidRDefault="00AF77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No decorrer do trabalho, são verificados aspectos relacionados ao tema, como </w:t>
      </w:r>
      <w:r w:rsidR="004111DB" w:rsidRPr="00FD62A0">
        <w:rPr>
          <w:rFonts w:ascii="Arial" w:hAnsi="Arial" w:cs="Arial"/>
          <w:sz w:val="22"/>
          <w:szCs w:val="22"/>
        </w:rPr>
        <w:t xml:space="preserve">a participação e responsabilidade dos órgãos constituintes integrantes das parcerias, e seus resultados, que incluem a transformação do indivíduo, o abandono da prostituição, a ampliação de seus conhecimentos, a obtenção de formação profissional e ingresso no mercado de trabalho. </w:t>
      </w:r>
      <w:r w:rsidR="00071842" w:rsidRPr="00FD62A0">
        <w:rPr>
          <w:rFonts w:ascii="Arial" w:hAnsi="Arial" w:cs="Arial"/>
          <w:sz w:val="22"/>
          <w:szCs w:val="22"/>
        </w:rPr>
        <w:t xml:space="preserve">Além disso, o trabalho é norteado por uma série de questões levantadas a princípio, como: a exploração sexual infanto juvenil recebe atenção suficiente na resolução do problema, por parte da esfera pública? </w:t>
      </w:r>
      <w:r w:rsidR="00A4525A" w:rsidRPr="00FD62A0">
        <w:rPr>
          <w:rFonts w:ascii="Arial" w:hAnsi="Arial" w:cs="Arial"/>
          <w:sz w:val="22"/>
          <w:szCs w:val="22"/>
        </w:rPr>
        <w:t xml:space="preserve">A legislação brasileira está suficientemente atualizada em relação ao tema? </w:t>
      </w:r>
      <w:r w:rsidR="00071842" w:rsidRPr="00FD62A0">
        <w:rPr>
          <w:rFonts w:ascii="Arial" w:hAnsi="Arial" w:cs="Arial"/>
          <w:sz w:val="22"/>
          <w:szCs w:val="22"/>
        </w:rPr>
        <w:t>O que leva os jovens a entrar no círculo da exploração? O que os motiva a sair? A parceria entre os setores público e privado alcança bons resultados no combate?</w:t>
      </w:r>
    </w:p>
    <w:p w:rsidR="004111DB" w:rsidRPr="00FD62A0" w:rsidRDefault="00AF77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A fim de estudar a questão da exploração sexual </w:t>
      </w:r>
      <w:r w:rsidR="00A85E06">
        <w:rPr>
          <w:rFonts w:ascii="Arial" w:hAnsi="Arial" w:cs="Arial"/>
          <w:sz w:val="22"/>
          <w:szCs w:val="22"/>
        </w:rPr>
        <w:t>infantojuvenil</w:t>
      </w:r>
      <w:r w:rsidR="004111DB" w:rsidRPr="00FD62A0">
        <w:rPr>
          <w:rFonts w:ascii="Arial" w:hAnsi="Arial" w:cs="Arial"/>
          <w:sz w:val="22"/>
          <w:szCs w:val="22"/>
        </w:rPr>
        <w:t xml:space="preserve">, faz-se necessário trabalhar conceitos como o Estado, o </w:t>
      </w:r>
      <w:r w:rsidR="00A22B90" w:rsidRPr="00FD62A0">
        <w:rPr>
          <w:rFonts w:ascii="Arial" w:hAnsi="Arial" w:cs="Arial"/>
          <w:sz w:val="22"/>
          <w:szCs w:val="22"/>
        </w:rPr>
        <w:t>Estado-providência</w:t>
      </w:r>
      <w:r w:rsidR="004111DB" w:rsidRPr="00FD62A0">
        <w:rPr>
          <w:rFonts w:ascii="Arial" w:hAnsi="Arial" w:cs="Arial"/>
          <w:sz w:val="22"/>
          <w:szCs w:val="22"/>
        </w:rPr>
        <w:t>, a Administração Pública, assim como situar o funcionamento da parceria entre setor público e setor privado.</w:t>
      </w:r>
      <w:r w:rsidR="00952C42" w:rsidRPr="00FD62A0">
        <w:rPr>
          <w:rFonts w:ascii="Arial" w:hAnsi="Arial" w:cs="Arial"/>
          <w:sz w:val="22"/>
          <w:szCs w:val="22"/>
        </w:rPr>
        <w:t xml:space="preserve"> Além desses outros conceitos com características mais sociais também são necessários, podendo citar-se entre eles o conceito de criança, de exploração sexual, de proteção social, entre outros.</w:t>
      </w:r>
    </w:p>
    <w:p w:rsidR="00957DF1" w:rsidRPr="00FD62A0" w:rsidRDefault="00957DF1" w:rsidP="00BF4427">
      <w:pPr>
        <w:spacing w:line="360" w:lineRule="auto"/>
        <w:ind w:firstLine="708"/>
        <w:jc w:val="both"/>
        <w:rPr>
          <w:rFonts w:ascii="Arial" w:hAnsi="Arial" w:cs="Arial"/>
          <w:sz w:val="22"/>
          <w:szCs w:val="22"/>
        </w:rPr>
      </w:pPr>
      <w:r w:rsidRPr="00FD62A0">
        <w:rPr>
          <w:rFonts w:ascii="Arial" w:hAnsi="Arial" w:cs="Arial"/>
          <w:sz w:val="22"/>
          <w:szCs w:val="22"/>
        </w:rPr>
        <w:lastRenderedPageBreak/>
        <w:t>Neste sentido, o trabalho é configurado em quatro capítulos, distribuídos da seguinte maneira: Capítulo I: estudo sobre o Estado e sua evolução, bem como o avanço da administração pública e seus efeitos sobre a sociedade. O capítulo II é dedicado á análise das parcerias público privadas, seu histórico geral no mundo, e em particular no Brasil, além de análise detalhada sobre as principais instituições envolvidas nos projetos a serem estudados no trabalho: o “</w:t>
      </w:r>
      <w:r w:rsidR="00C02187" w:rsidRPr="00FD62A0">
        <w:rPr>
          <w:rFonts w:ascii="Arial" w:hAnsi="Arial" w:cs="Arial"/>
          <w:sz w:val="22"/>
          <w:szCs w:val="22"/>
        </w:rPr>
        <w:t>ViraVida</w:t>
      </w:r>
      <w:r w:rsidRPr="00FD62A0">
        <w:rPr>
          <w:rFonts w:ascii="Arial" w:hAnsi="Arial" w:cs="Arial"/>
          <w:sz w:val="22"/>
          <w:szCs w:val="22"/>
        </w:rPr>
        <w:t>” e o “Turismo Sustentável e Infância”. O capítulo III, a seu turno, visa desenhar o panorama da exploração sexual no Brasil, a partir de informações importantes como conceitos, legislação e estatísticas. O capítulo IV, que fecha o trabalho, apresenta o estudo detalhado dos projetos supramencionados, baseados em parcerias entre setor público e privado, assim como seus resultados e impacto na sociedade.</w:t>
      </w:r>
      <w:r w:rsidR="00B94A6A" w:rsidRPr="00FD62A0">
        <w:rPr>
          <w:rFonts w:ascii="Arial" w:hAnsi="Arial" w:cs="Arial"/>
          <w:sz w:val="22"/>
          <w:szCs w:val="22"/>
        </w:rPr>
        <w:t xml:space="preserve"> </w:t>
      </w:r>
      <w:r w:rsidR="00F659E2" w:rsidRPr="00FD62A0">
        <w:rPr>
          <w:rFonts w:ascii="Arial" w:hAnsi="Arial" w:cs="Arial"/>
          <w:sz w:val="22"/>
          <w:szCs w:val="22"/>
        </w:rPr>
        <w:t>Para tal, são apresentados os projetos, seus objetivos, a forma de trabalho, assim como é verificada sua eficácia no combate à exploração sexual, através dos resultados alcançados.</w:t>
      </w:r>
    </w:p>
    <w:p w:rsidR="004111DB" w:rsidRPr="00FD62A0" w:rsidRDefault="004111DB" w:rsidP="00BF4427">
      <w:pPr>
        <w:spacing w:line="360" w:lineRule="auto"/>
        <w:rPr>
          <w:sz w:val="22"/>
          <w:szCs w:val="22"/>
        </w:rPr>
      </w:pPr>
    </w:p>
    <w:p w:rsidR="001121B3" w:rsidRPr="00FD62A0" w:rsidRDefault="00BF4427" w:rsidP="00707618">
      <w:pPr>
        <w:spacing w:line="360" w:lineRule="auto"/>
        <w:rPr>
          <w:rFonts w:ascii="Arial" w:hAnsi="Arial" w:cs="Arial"/>
          <w:b/>
          <w:sz w:val="22"/>
          <w:szCs w:val="22"/>
        </w:rPr>
      </w:pPr>
      <w:r w:rsidRPr="00FD62A0">
        <w:rPr>
          <w:rFonts w:ascii="Arial" w:hAnsi="Arial" w:cs="Arial"/>
          <w:b/>
          <w:sz w:val="22"/>
          <w:szCs w:val="22"/>
        </w:rPr>
        <w:br w:type="page"/>
      </w:r>
      <w:r w:rsidR="00AD48DA" w:rsidRPr="00FD62A0">
        <w:rPr>
          <w:rFonts w:ascii="Arial" w:hAnsi="Arial" w:cs="Arial"/>
          <w:b/>
          <w:sz w:val="22"/>
          <w:szCs w:val="22"/>
        </w:rPr>
        <w:lastRenderedPageBreak/>
        <w:br w:type="page"/>
      </w:r>
      <w:r w:rsidR="003678A1" w:rsidRPr="00FD62A0">
        <w:rPr>
          <w:rFonts w:ascii="Arial" w:hAnsi="Arial" w:cs="Arial"/>
          <w:b/>
          <w:sz w:val="22"/>
          <w:szCs w:val="22"/>
        </w:rPr>
        <w:lastRenderedPageBreak/>
        <w:t>C</w:t>
      </w:r>
      <w:r w:rsidR="003031E9" w:rsidRPr="00FD62A0">
        <w:rPr>
          <w:rFonts w:ascii="Arial" w:hAnsi="Arial" w:cs="Arial"/>
          <w:b/>
          <w:sz w:val="22"/>
          <w:szCs w:val="22"/>
        </w:rPr>
        <w:t>APÍTULO I:</w:t>
      </w:r>
      <w:r w:rsidR="001121B3" w:rsidRPr="00FD62A0">
        <w:rPr>
          <w:rFonts w:ascii="Arial" w:hAnsi="Arial" w:cs="Arial"/>
          <w:b/>
          <w:sz w:val="22"/>
          <w:szCs w:val="22"/>
        </w:rPr>
        <w:t xml:space="preserve"> O E</w:t>
      </w:r>
      <w:r w:rsidR="00707618" w:rsidRPr="00FD62A0">
        <w:rPr>
          <w:rFonts w:ascii="Arial" w:hAnsi="Arial" w:cs="Arial"/>
          <w:b/>
          <w:sz w:val="22"/>
          <w:szCs w:val="22"/>
        </w:rPr>
        <w:t>STADO: CONCEITO E EVOLUÇÃO</w:t>
      </w:r>
    </w:p>
    <w:p w:rsidR="001121B3" w:rsidRPr="00FD62A0" w:rsidRDefault="001121B3" w:rsidP="00BF4427">
      <w:pPr>
        <w:spacing w:line="360" w:lineRule="auto"/>
        <w:jc w:val="both"/>
        <w:rPr>
          <w:rFonts w:ascii="Arial" w:hAnsi="Arial" w:cs="Arial"/>
          <w:b/>
          <w:sz w:val="22"/>
          <w:szCs w:val="22"/>
        </w:rPr>
      </w:pPr>
    </w:p>
    <w:p w:rsidR="00765EAD" w:rsidRPr="00FD62A0" w:rsidRDefault="00765EAD" w:rsidP="00BF4427">
      <w:pPr>
        <w:spacing w:line="360" w:lineRule="auto"/>
        <w:jc w:val="both"/>
        <w:rPr>
          <w:rFonts w:ascii="Arial" w:hAnsi="Arial" w:cs="Arial"/>
          <w:sz w:val="22"/>
          <w:szCs w:val="22"/>
        </w:rPr>
      </w:pPr>
      <w:r w:rsidRPr="00FD62A0">
        <w:rPr>
          <w:rFonts w:ascii="Arial" w:hAnsi="Arial" w:cs="Arial"/>
          <w:sz w:val="22"/>
          <w:szCs w:val="22"/>
        </w:rPr>
        <w:t>A sociedade transpõe o tempo em constante movimento, alterando-se em função dos indivíduos que a compõem, e delineando-se de acordo com as novas necessidades que surgem. Neste sentido, o Estado, que tem como uma das grandes forças motrizes a sociedade, é afetado por esse impacto centrípeto, sendo levado a reinventar-se sempre.</w:t>
      </w:r>
    </w:p>
    <w:p w:rsidR="001121B3" w:rsidRPr="00FD62A0" w:rsidRDefault="00765EAD" w:rsidP="00BF4427">
      <w:pPr>
        <w:spacing w:line="360" w:lineRule="auto"/>
        <w:ind w:firstLine="708"/>
        <w:jc w:val="both"/>
        <w:rPr>
          <w:rFonts w:ascii="Arial" w:hAnsi="Arial" w:cs="Arial"/>
          <w:sz w:val="22"/>
          <w:szCs w:val="22"/>
        </w:rPr>
      </w:pPr>
      <w:r w:rsidRPr="00FD62A0">
        <w:rPr>
          <w:rFonts w:ascii="Arial" w:hAnsi="Arial" w:cs="Arial"/>
          <w:sz w:val="22"/>
          <w:szCs w:val="22"/>
        </w:rPr>
        <w:t>Diante deste cenário, este primeiro capítulo visa expor tais mudanças, por meio de conceitos como</w:t>
      </w:r>
      <w:r w:rsidR="001121B3" w:rsidRPr="00FD62A0">
        <w:rPr>
          <w:rFonts w:ascii="Arial" w:hAnsi="Arial" w:cs="Arial"/>
          <w:sz w:val="22"/>
          <w:szCs w:val="22"/>
        </w:rPr>
        <w:t xml:space="preserve"> o Estado, o </w:t>
      </w:r>
      <w:r w:rsidR="00A22B90" w:rsidRPr="00FD62A0">
        <w:rPr>
          <w:rFonts w:ascii="Arial" w:hAnsi="Arial" w:cs="Arial"/>
          <w:sz w:val="22"/>
          <w:szCs w:val="22"/>
        </w:rPr>
        <w:t>Estado-providência</w:t>
      </w:r>
      <w:r w:rsidR="001121B3" w:rsidRPr="00FD62A0">
        <w:rPr>
          <w:rFonts w:ascii="Arial" w:hAnsi="Arial" w:cs="Arial"/>
          <w:sz w:val="22"/>
          <w:szCs w:val="22"/>
        </w:rPr>
        <w:t>,</w:t>
      </w:r>
      <w:r w:rsidRPr="00FD62A0">
        <w:rPr>
          <w:rFonts w:ascii="Arial" w:hAnsi="Arial" w:cs="Arial"/>
          <w:sz w:val="22"/>
          <w:szCs w:val="22"/>
        </w:rPr>
        <w:t xml:space="preserve"> e</w:t>
      </w:r>
      <w:r w:rsidR="001121B3" w:rsidRPr="00FD62A0">
        <w:rPr>
          <w:rFonts w:ascii="Arial" w:hAnsi="Arial" w:cs="Arial"/>
          <w:sz w:val="22"/>
          <w:szCs w:val="22"/>
        </w:rPr>
        <w:t xml:space="preserve"> a Administração Pública</w:t>
      </w:r>
      <w:r w:rsidRPr="00FD62A0">
        <w:rPr>
          <w:rFonts w:ascii="Arial" w:hAnsi="Arial" w:cs="Arial"/>
          <w:sz w:val="22"/>
          <w:szCs w:val="22"/>
        </w:rPr>
        <w:t>. Além disso</w:t>
      </w:r>
      <w:r w:rsidR="001121B3" w:rsidRPr="00FD62A0">
        <w:rPr>
          <w:rFonts w:ascii="Arial" w:hAnsi="Arial" w:cs="Arial"/>
          <w:sz w:val="22"/>
          <w:szCs w:val="22"/>
        </w:rPr>
        <w:t>,</w:t>
      </w:r>
      <w:r w:rsidRPr="00FD62A0">
        <w:rPr>
          <w:rFonts w:ascii="Arial" w:hAnsi="Arial" w:cs="Arial"/>
          <w:sz w:val="22"/>
          <w:szCs w:val="22"/>
        </w:rPr>
        <w:t xml:space="preserve"> objetiva-se explanar</w:t>
      </w:r>
      <w:r w:rsidR="001121B3" w:rsidRPr="00FD62A0">
        <w:rPr>
          <w:rFonts w:ascii="Arial" w:hAnsi="Arial" w:cs="Arial"/>
          <w:sz w:val="22"/>
          <w:szCs w:val="22"/>
        </w:rPr>
        <w:t xml:space="preserve"> o funcionamento da parceria entre setor público e setor privado</w:t>
      </w:r>
      <w:r w:rsidRPr="00FD62A0">
        <w:rPr>
          <w:rFonts w:ascii="Arial" w:hAnsi="Arial" w:cs="Arial"/>
          <w:sz w:val="22"/>
          <w:szCs w:val="22"/>
        </w:rPr>
        <w:t xml:space="preserve"> e apresentar conceitos pertinentes </w:t>
      </w:r>
      <w:r w:rsidR="001121B3" w:rsidRPr="00FD62A0">
        <w:rPr>
          <w:rFonts w:ascii="Arial" w:hAnsi="Arial" w:cs="Arial"/>
          <w:sz w:val="22"/>
          <w:szCs w:val="22"/>
        </w:rPr>
        <w:t xml:space="preserve">ao tema </w:t>
      </w:r>
      <w:r w:rsidRPr="00FD62A0">
        <w:rPr>
          <w:rFonts w:ascii="Arial" w:hAnsi="Arial" w:cs="Arial"/>
          <w:sz w:val="22"/>
          <w:szCs w:val="22"/>
        </w:rPr>
        <w:t xml:space="preserve">da </w:t>
      </w:r>
      <w:r w:rsidR="001121B3" w:rsidRPr="00FD62A0">
        <w:rPr>
          <w:rFonts w:ascii="Arial" w:hAnsi="Arial" w:cs="Arial"/>
          <w:sz w:val="22"/>
          <w:szCs w:val="22"/>
        </w:rPr>
        <w:t>exploração sexual</w:t>
      </w:r>
      <w:r w:rsidR="00DC494B" w:rsidRPr="00FD62A0">
        <w:rPr>
          <w:rFonts w:ascii="Arial" w:hAnsi="Arial" w:cs="Arial"/>
          <w:sz w:val="22"/>
          <w:szCs w:val="22"/>
        </w:rPr>
        <w:t>, uma vez que ambos permeiam todo o trabalho</w:t>
      </w:r>
      <w:r w:rsidR="001121B3" w:rsidRPr="00FD62A0">
        <w:rPr>
          <w:rFonts w:ascii="Arial" w:hAnsi="Arial" w:cs="Arial"/>
          <w:sz w:val="22"/>
          <w:szCs w:val="22"/>
        </w:rPr>
        <w:t>.</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A definição de Estado, assim como o estabelecimento exato do período em que ele passa a existir são abordados por diversos autores, não havendo um consenso geral a respeito do tema. Determinados autores falam na existência do Estado a partir das Polis gregas, sendo característica do período a organização da comunidade, havendo ainda o início de uma demarcação de instituições políticas. </w:t>
      </w:r>
      <w:r w:rsidR="001231E5" w:rsidRPr="00FD62A0">
        <w:rPr>
          <w:rFonts w:ascii="Arial" w:hAnsi="Arial" w:cs="Arial"/>
          <w:sz w:val="22"/>
          <w:szCs w:val="22"/>
        </w:rPr>
        <w:t>Mozzicafreddo</w:t>
      </w:r>
      <w:r w:rsidRPr="00FD62A0">
        <w:rPr>
          <w:rFonts w:ascii="Arial" w:hAnsi="Arial" w:cs="Arial"/>
          <w:sz w:val="22"/>
          <w:szCs w:val="22"/>
        </w:rPr>
        <w:t xml:space="preserve"> afirma que o Estado como instituição humana se dá a partir da sedentarização de povos nômades. Estes teriam se fixado em determinados locais, desenvolvendo cidades com funcionamentos distinto</w:t>
      </w:r>
      <w:r w:rsidR="007941FF" w:rsidRPr="00FD62A0">
        <w:rPr>
          <w:rFonts w:ascii="Arial" w:hAnsi="Arial" w:cs="Arial"/>
          <w:sz w:val="22"/>
          <w:szCs w:val="22"/>
        </w:rPr>
        <w:t>s entre si. (</w:t>
      </w:r>
      <w:r w:rsidR="001231E5" w:rsidRPr="00FD62A0">
        <w:rPr>
          <w:rFonts w:ascii="Arial" w:hAnsi="Arial" w:cs="Arial"/>
          <w:sz w:val="22"/>
          <w:szCs w:val="22"/>
        </w:rPr>
        <w:t>Mozzicafreddo</w:t>
      </w:r>
      <w:r w:rsidR="007941FF" w:rsidRPr="00FD62A0">
        <w:rPr>
          <w:rFonts w:ascii="Arial" w:hAnsi="Arial" w:cs="Arial"/>
          <w:sz w:val="22"/>
          <w:szCs w:val="22"/>
        </w:rPr>
        <w:t>, 1994</w:t>
      </w:r>
      <w:r w:rsidRPr="00FD62A0">
        <w:rPr>
          <w:rFonts w:ascii="Arial" w:hAnsi="Arial" w:cs="Arial"/>
          <w:sz w:val="22"/>
          <w:szCs w:val="22"/>
        </w:rPr>
        <w:t>)</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Desde então, passam a existir grupos equivalentes a governos que assumem a responsabilidade compartilhada com os cidadãos. As pessoas começam a trabalhar em setores específicos da sociedade, criando assim a divisão de classes. A partir deste modelo de Estado, surgem outros, até chegarmos àquele conhecido como o Estado Moderno. Jellinek, aborda a idéia de uma Evolução do Estado, passando este por fases distintas e delimitadas, entre elas: o Estado Oriental, o Estado Grego, o Estado Romano, o Estado Medieval e o Estado Moderno. (Jellinek, 2002)</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O Estado Oriental foi caracterizado por uma monarquia absolutista, onde não havia diferenciações entre o Estado e a Igreja, ou seja, era um Estado teocrático. Sendo assim, os representantes do alto clero tinham poderes semelhantes ou por vezes superiores aos governantes, no que dizia respeito a questões políticas. </w:t>
      </w:r>
      <w:r w:rsidR="00AA333C" w:rsidRPr="00FD62A0">
        <w:rPr>
          <w:rFonts w:ascii="Arial" w:hAnsi="Arial" w:cs="Arial"/>
          <w:sz w:val="22"/>
          <w:szCs w:val="22"/>
        </w:rPr>
        <w:t xml:space="preserve">O modelo era caracterizado por uma sociedade estratificada e pela escassa preocupação com os direitos individuais. </w:t>
      </w:r>
      <w:r w:rsidRPr="00FD62A0">
        <w:rPr>
          <w:rFonts w:ascii="Arial" w:hAnsi="Arial" w:cs="Arial"/>
          <w:sz w:val="22"/>
          <w:szCs w:val="22"/>
        </w:rPr>
        <w:t>(Jellinek, 2002)</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No Estado Grego, a mudança mais significativa é em relação à estratificação social</w:t>
      </w:r>
      <w:r w:rsidR="00530B17" w:rsidRPr="00FD62A0">
        <w:rPr>
          <w:rFonts w:ascii="Arial" w:hAnsi="Arial" w:cs="Arial"/>
          <w:sz w:val="22"/>
          <w:szCs w:val="22"/>
        </w:rPr>
        <w:t xml:space="preserve"> que</w:t>
      </w:r>
      <w:r w:rsidRPr="00FD62A0">
        <w:rPr>
          <w:rFonts w:ascii="Arial" w:hAnsi="Arial" w:cs="Arial"/>
          <w:sz w:val="22"/>
          <w:szCs w:val="22"/>
        </w:rPr>
        <w:t xml:space="preserve"> desaparece, sendo todos os cidadãos considerados iguais perante a lei. </w:t>
      </w:r>
      <w:r w:rsidR="00530B17" w:rsidRPr="00FD62A0">
        <w:rPr>
          <w:rFonts w:ascii="Arial" w:hAnsi="Arial" w:cs="Arial"/>
          <w:sz w:val="22"/>
          <w:szCs w:val="22"/>
        </w:rPr>
        <w:t>Porém só</w:t>
      </w:r>
      <w:r w:rsidRPr="00FD62A0">
        <w:rPr>
          <w:rFonts w:ascii="Arial" w:hAnsi="Arial" w:cs="Arial"/>
          <w:sz w:val="22"/>
          <w:szCs w:val="22"/>
        </w:rPr>
        <w:t xml:space="preserve"> eram considerados cidadãos os homens livres, em detrimento dos estrangeiros</w:t>
      </w:r>
      <w:r w:rsidR="00530B17" w:rsidRPr="00FD62A0">
        <w:rPr>
          <w:rFonts w:ascii="Arial" w:hAnsi="Arial" w:cs="Arial"/>
          <w:sz w:val="22"/>
          <w:szCs w:val="22"/>
        </w:rPr>
        <w:t>,</w:t>
      </w:r>
      <w:r w:rsidRPr="00FD62A0">
        <w:rPr>
          <w:rFonts w:ascii="Arial" w:hAnsi="Arial" w:cs="Arial"/>
          <w:sz w:val="22"/>
          <w:szCs w:val="22"/>
        </w:rPr>
        <w:t xml:space="preserve"> dos escravos e </w:t>
      </w:r>
      <w:r w:rsidR="00530B17" w:rsidRPr="00FD62A0">
        <w:rPr>
          <w:rFonts w:ascii="Arial" w:hAnsi="Arial" w:cs="Arial"/>
          <w:sz w:val="22"/>
          <w:szCs w:val="22"/>
        </w:rPr>
        <w:t xml:space="preserve">das </w:t>
      </w:r>
      <w:r w:rsidR="00D622AE" w:rsidRPr="00FD62A0">
        <w:rPr>
          <w:rFonts w:ascii="Arial" w:hAnsi="Arial" w:cs="Arial"/>
          <w:sz w:val="22"/>
          <w:szCs w:val="22"/>
        </w:rPr>
        <w:t xml:space="preserve">mulheres. </w:t>
      </w:r>
      <w:r w:rsidRPr="00FD62A0">
        <w:rPr>
          <w:rFonts w:ascii="Arial" w:hAnsi="Arial" w:cs="Arial"/>
          <w:sz w:val="22"/>
          <w:szCs w:val="22"/>
        </w:rPr>
        <w:t>Neste sentido, é possível afirmar que o período iniciou o esboço do que seria considerado o Estado democrático que conhecemos hoje. (Jellinek, 2002)</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lastRenderedPageBreak/>
        <w:tab/>
      </w:r>
      <w:r w:rsidR="00D622AE" w:rsidRPr="00FD62A0">
        <w:rPr>
          <w:rFonts w:ascii="Arial" w:hAnsi="Arial" w:cs="Arial"/>
          <w:sz w:val="22"/>
          <w:szCs w:val="22"/>
        </w:rPr>
        <w:t xml:space="preserve">É com </w:t>
      </w:r>
      <w:r w:rsidRPr="00FD62A0">
        <w:rPr>
          <w:rFonts w:ascii="Arial" w:hAnsi="Arial" w:cs="Arial"/>
          <w:sz w:val="22"/>
          <w:szCs w:val="22"/>
        </w:rPr>
        <w:t xml:space="preserve">o surgimento do Estado Romano </w:t>
      </w:r>
      <w:r w:rsidR="00D622AE" w:rsidRPr="00FD62A0">
        <w:rPr>
          <w:rFonts w:ascii="Arial" w:hAnsi="Arial" w:cs="Arial"/>
          <w:sz w:val="22"/>
          <w:szCs w:val="22"/>
        </w:rPr>
        <w:t xml:space="preserve">que há uma </w:t>
      </w:r>
      <w:r w:rsidRPr="00FD62A0">
        <w:rPr>
          <w:rFonts w:ascii="Arial" w:hAnsi="Arial" w:cs="Arial"/>
          <w:sz w:val="22"/>
          <w:szCs w:val="22"/>
        </w:rPr>
        <w:t>clara separação entre o poder público e o poder privado. A sociedade preservava ambos, cultuando a família, ou seja, seu domínio privado, mas ao mesmo tempo nutria grande respeito pelo setor público, representado pelo Estado (Jellinek, 2002)</w:t>
      </w:r>
      <w:r w:rsidR="00D622AE" w:rsidRPr="00FD62A0">
        <w:rPr>
          <w:rFonts w:ascii="Arial" w:hAnsi="Arial" w:cs="Arial"/>
          <w:sz w:val="22"/>
          <w:szCs w:val="22"/>
        </w:rPr>
        <w:t>.</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No período medieval, a característica mais marcante constatada era a fragmentação do poder. O período foi marcado pelo Feudalismo, onde a imagem de um governante único se desfaz. Isso ocorre uma vez que o rei se vê na obrigação de dividi</w:t>
      </w:r>
      <w:r w:rsidR="00D622AE" w:rsidRPr="00FD62A0">
        <w:rPr>
          <w:rFonts w:ascii="Arial" w:hAnsi="Arial" w:cs="Arial"/>
          <w:sz w:val="22"/>
          <w:szCs w:val="22"/>
        </w:rPr>
        <w:t>r o poder com núcleos menores</w:t>
      </w:r>
      <w:r w:rsidRPr="00FD62A0">
        <w:rPr>
          <w:rFonts w:ascii="Arial" w:hAnsi="Arial" w:cs="Arial"/>
          <w:sz w:val="22"/>
          <w:szCs w:val="22"/>
        </w:rPr>
        <w:t xml:space="preserve">, no caso os senhores feudais. </w:t>
      </w:r>
    </w:p>
    <w:p w:rsidR="001121B3" w:rsidRPr="00FD62A0" w:rsidRDefault="00530B17" w:rsidP="00BF4427">
      <w:pPr>
        <w:spacing w:line="360" w:lineRule="auto"/>
        <w:ind w:firstLine="708"/>
        <w:jc w:val="both"/>
        <w:rPr>
          <w:rFonts w:ascii="Arial" w:hAnsi="Arial" w:cs="Arial"/>
          <w:sz w:val="22"/>
          <w:szCs w:val="22"/>
        </w:rPr>
      </w:pPr>
      <w:r w:rsidRPr="00FD62A0">
        <w:rPr>
          <w:rFonts w:ascii="Arial" w:hAnsi="Arial" w:cs="Arial"/>
          <w:sz w:val="22"/>
          <w:szCs w:val="22"/>
        </w:rPr>
        <w:t>A partir da idade moderna —</w:t>
      </w:r>
      <w:r w:rsidR="001121B3" w:rsidRPr="00FD62A0">
        <w:rPr>
          <w:rFonts w:ascii="Arial" w:hAnsi="Arial" w:cs="Arial"/>
          <w:sz w:val="22"/>
          <w:szCs w:val="22"/>
        </w:rPr>
        <w:t xml:space="preserve"> século XVI e XVII </w:t>
      </w:r>
      <w:r w:rsidRPr="00FD62A0">
        <w:rPr>
          <w:rFonts w:ascii="Arial" w:hAnsi="Arial" w:cs="Arial"/>
          <w:sz w:val="22"/>
          <w:szCs w:val="22"/>
        </w:rPr>
        <w:t>—</w:t>
      </w:r>
      <w:r w:rsidR="001121B3" w:rsidRPr="00FD62A0">
        <w:rPr>
          <w:rFonts w:ascii="Arial" w:hAnsi="Arial" w:cs="Arial"/>
          <w:sz w:val="22"/>
          <w:szCs w:val="22"/>
        </w:rPr>
        <w:t xml:space="preserve"> entretanto, o Estado passa a se desenhar como unidade organizada laica e soberana baseada em uma constituição, desenhando assim o Estado Moderno. Nesse sentido, </w:t>
      </w:r>
      <w:r w:rsidR="001121B3" w:rsidRPr="00FD62A0">
        <w:rPr>
          <w:rFonts w:ascii="Arial" w:hAnsi="Arial"/>
          <w:sz w:val="22"/>
          <w:szCs w:val="22"/>
        </w:rPr>
        <w:t>Leibfried &amp; Zürn</w:t>
      </w:r>
      <w:r w:rsidR="001121B3" w:rsidRPr="00FD62A0">
        <w:rPr>
          <w:rFonts w:ascii="Arial" w:hAnsi="Arial" w:cs="Arial"/>
          <w:sz w:val="22"/>
          <w:szCs w:val="22"/>
        </w:rPr>
        <w:t xml:space="preserve"> destacam quatro dimensões em que o Estado opera: a dimensão dos recursos, a qual concerne ao controle da força e dos recursos financeiros, a dimensão da lei que é relacionada à criação e interpretação de leis, como também a administração da justiça, a dimensão da legitimidade, ligada ao reconhecimento do governo, pela sociedade, e a dimensão do bem-estar, relacionada ao crescimento econômico e à equidade social. (</w:t>
      </w:r>
      <w:r w:rsidR="001121B3" w:rsidRPr="00FD62A0">
        <w:rPr>
          <w:rFonts w:ascii="Arial" w:hAnsi="Arial"/>
          <w:sz w:val="22"/>
          <w:szCs w:val="22"/>
        </w:rPr>
        <w:t>Leibfried &amp; Zürn, 2005)</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Antes da instituição do Estado como organização política, as responsabilidades para assegurar as necessidades da sociedade eram compartilhadas pelos indivíduos. Com a instituição do Estado, este recebe poder em troca da obrigação de assegurar as necessidades dos indivíduos, o bem estar da sociedade. Nesse sentido, os cidadãos passam a abrir mão de suas liberdades individuais, em troca do bem comum, a sociedade passa a ser vista como um conjunto de indivíduos unidos de forma organizada, em busca de um objetivo comum.</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Para além do conceito de unidade firmado mais fortemente na era moderna, Jellinek afirma que "o Estado moderno seria o Estado, enquanto unidade de associação ou unidade teleológica, organizado conforme uma Constituição".  </w:t>
      </w:r>
      <w:r w:rsidR="00265DD6" w:rsidRPr="00FD62A0">
        <w:rPr>
          <w:rFonts w:ascii="Arial" w:hAnsi="Arial" w:cs="Arial"/>
          <w:sz w:val="22"/>
          <w:szCs w:val="22"/>
        </w:rPr>
        <w:t xml:space="preserve">(Jellinek, 2002). </w:t>
      </w:r>
      <w:r w:rsidRPr="00FD62A0">
        <w:rPr>
          <w:rFonts w:ascii="Arial" w:hAnsi="Arial" w:cs="Arial"/>
          <w:sz w:val="22"/>
          <w:szCs w:val="22"/>
        </w:rPr>
        <w:t>Segundo este autor, o que fortemente diferencia o Estado Moderno das formas estatais constituídas até então é a proteção dos direitos do indivíduo como característica primordial, assegurada pela Constituição.  A proteção ao indivíduo é outra característica marcante deste modelo de Estado, pois embora existisse em outros modelos, ela passa a ser vista como essencial no Estado-Moderno. (Jellinek, 2002)</w:t>
      </w:r>
    </w:p>
    <w:p w:rsidR="001121B3" w:rsidRPr="00FD62A0" w:rsidRDefault="001231E5" w:rsidP="00BF4427">
      <w:pPr>
        <w:spacing w:line="360" w:lineRule="auto"/>
        <w:ind w:firstLine="708"/>
        <w:jc w:val="both"/>
        <w:rPr>
          <w:rFonts w:ascii="Arial" w:hAnsi="Arial" w:cs="Arial"/>
          <w:sz w:val="22"/>
          <w:szCs w:val="22"/>
        </w:rPr>
      </w:pPr>
      <w:r w:rsidRPr="00FD62A0">
        <w:rPr>
          <w:rFonts w:ascii="Arial" w:hAnsi="Arial" w:cs="Arial"/>
          <w:sz w:val="22"/>
          <w:szCs w:val="22"/>
        </w:rPr>
        <w:t>Mozzicafreddo</w:t>
      </w:r>
      <w:r w:rsidR="001121B3" w:rsidRPr="00FD62A0">
        <w:rPr>
          <w:rFonts w:ascii="Arial" w:hAnsi="Arial" w:cs="Arial"/>
          <w:sz w:val="22"/>
          <w:szCs w:val="22"/>
        </w:rPr>
        <w:t xml:space="preserve"> por sua vez, afirma que "o Estado é composto de sistemas de funcionamento que estruturam as relações entre a sociedade civil e a autoridade política, assim como as relações de poder pertinentes à sociedade política" (</w:t>
      </w:r>
      <w:r w:rsidRPr="00FD62A0">
        <w:rPr>
          <w:rFonts w:ascii="Arial" w:hAnsi="Arial" w:cs="Arial"/>
          <w:sz w:val="22"/>
          <w:szCs w:val="22"/>
        </w:rPr>
        <w:t>Mozzicafreddo</w:t>
      </w:r>
      <w:r w:rsidR="001121B3" w:rsidRPr="00FD62A0">
        <w:rPr>
          <w:rFonts w:ascii="Arial" w:hAnsi="Arial" w:cs="Arial"/>
          <w:sz w:val="22"/>
          <w:szCs w:val="22"/>
        </w:rPr>
        <w:t xml:space="preserve">, 1997). Nesse sentido, Flora &amp; Alber destacam que o Estado é estruturado pela sociedade para assegurar a ela seus direitos individuais, assim como regras que ordenem e facilitem o convívio dos indivíduos. Tendo como parte integrante a sociedade, o Estado está sujeito a </w:t>
      </w:r>
      <w:r w:rsidR="001121B3" w:rsidRPr="00FD62A0">
        <w:rPr>
          <w:rFonts w:ascii="Arial" w:hAnsi="Arial" w:cs="Arial"/>
          <w:sz w:val="22"/>
          <w:szCs w:val="22"/>
        </w:rPr>
        <w:lastRenderedPageBreak/>
        <w:t xml:space="preserve">mudanças sociais que podem ocorrer em função do desenvolvimento e modernização desta. </w:t>
      </w:r>
    </w:p>
    <w:p w:rsidR="001121B3" w:rsidRPr="00FD62A0" w:rsidRDefault="001121B3" w:rsidP="00BF4427">
      <w:pPr>
        <w:spacing w:line="360" w:lineRule="auto"/>
        <w:ind w:firstLine="709"/>
        <w:jc w:val="both"/>
        <w:rPr>
          <w:rFonts w:ascii="Arial" w:hAnsi="Arial" w:cs="Arial"/>
          <w:i/>
          <w:sz w:val="22"/>
          <w:szCs w:val="22"/>
        </w:rPr>
      </w:pPr>
      <w:r w:rsidRPr="00FD62A0">
        <w:rPr>
          <w:rFonts w:ascii="Arial" w:hAnsi="Arial" w:cs="Arial"/>
          <w:sz w:val="22"/>
          <w:szCs w:val="22"/>
        </w:rPr>
        <w:t xml:space="preserve">Tal modernização, acaba por desenvolver maior complexidade da sociedade em função da diferenciação social que ocorre. Como resultado de tais mudanças, torna-se necessário desenvolver novas formas de regular e coordenar as relações entre os indivíduos e as estruturas sociais. É neste contexto social que surge o </w:t>
      </w:r>
      <w:r w:rsidR="00A22B90" w:rsidRPr="00FD62A0">
        <w:rPr>
          <w:rFonts w:ascii="Arial" w:hAnsi="Arial" w:cs="Arial"/>
          <w:sz w:val="22"/>
          <w:szCs w:val="22"/>
        </w:rPr>
        <w:t>Estado-providência</w:t>
      </w:r>
      <w:r w:rsidRPr="00FD62A0">
        <w:rPr>
          <w:rFonts w:ascii="Arial" w:hAnsi="Arial" w:cs="Arial"/>
          <w:sz w:val="22"/>
          <w:szCs w:val="22"/>
        </w:rPr>
        <w:t xml:space="preserve"> ou </w:t>
      </w:r>
      <w:r w:rsidRPr="00FD62A0">
        <w:rPr>
          <w:rFonts w:ascii="Arial" w:hAnsi="Arial" w:cs="Arial"/>
          <w:i/>
          <w:sz w:val="22"/>
          <w:szCs w:val="22"/>
        </w:rPr>
        <w:t>Welfare State.</w:t>
      </w:r>
    </w:p>
    <w:p w:rsidR="00627E33" w:rsidRPr="00FD62A0" w:rsidRDefault="00627E33" w:rsidP="00BF4427">
      <w:pPr>
        <w:spacing w:line="360" w:lineRule="auto"/>
        <w:ind w:firstLine="709"/>
        <w:jc w:val="both"/>
        <w:rPr>
          <w:rFonts w:ascii="Arial" w:hAnsi="Arial" w:cs="Arial"/>
          <w:sz w:val="22"/>
          <w:szCs w:val="22"/>
        </w:rPr>
      </w:pPr>
    </w:p>
    <w:p w:rsidR="001121B3" w:rsidRPr="00FD62A0" w:rsidRDefault="00FE3E87" w:rsidP="00BF4427">
      <w:pPr>
        <w:spacing w:line="360" w:lineRule="auto"/>
        <w:jc w:val="both"/>
        <w:rPr>
          <w:rFonts w:ascii="Arial" w:hAnsi="Arial" w:cs="Arial"/>
          <w:b/>
          <w:sz w:val="22"/>
          <w:szCs w:val="22"/>
        </w:rPr>
      </w:pPr>
      <w:r w:rsidRPr="00FD62A0">
        <w:rPr>
          <w:rFonts w:ascii="Arial" w:hAnsi="Arial" w:cs="Arial"/>
          <w:b/>
          <w:sz w:val="22"/>
          <w:szCs w:val="22"/>
        </w:rPr>
        <w:t>1.1</w:t>
      </w:r>
      <w:r w:rsidR="001121B3" w:rsidRPr="00FD62A0">
        <w:rPr>
          <w:rFonts w:ascii="Arial" w:hAnsi="Arial" w:cs="Arial"/>
          <w:b/>
          <w:sz w:val="22"/>
          <w:szCs w:val="22"/>
        </w:rPr>
        <w:t xml:space="preserve">. </w:t>
      </w:r>
      <w:r w:rsidR="00A22B90" w:rsidRPr="00FD62A0">
        <w:rPr>
          <w:rFonts w:ascii="Arial" w:hAnsi="Arial" w:cs="Arial"/>
          <w:b/>
          <w:sz w:val="22"/>
          <w:szCs w:val="22"/>
        </w:rPr>
        <w:t>Estado-providência</w:t>
      </w:r>
    </w:p>
    <w:p w:rsidR="001121B3" w:rsidRPr="00FD62A0" w:rsidRDefault="001121B3" w:rsidP="00BF4427">
      <w:pPr>
        <w:spacing w:line="360" w:lineRule="auto"/>
        <w:jc w:val="both"/>
        <w:rPr>
          <w:rFonts w:ascii="Arial" w:hAnsi="Arial" w:cs="Arial"/>
          <w:b/>
          <w:sz w:val="22"/>
          <w:szCs w:val="22"/>
        </w:rPr>
      </w:pP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 xml:space="preserve">O </w:t>
      </w:r>
      <w:r w:rsidR="00A22B90" w:rsidRPr="00FD62A0">
        <w:rPr>
          <w:rFonts w:ascii="Arial" w:hAnsi="Arial" w:cs="Arial"/>
          <w:sz w:val="22"/>
          <w:szCs w:val="22"/>
        </w:rPr>
        <w:t>Estado-providência</w:t>
      </w:r>
      <w:r w:rsidRPr="00FD62A0">
        <w:rPr>
          <w:rFonts w:ascii="Arial" w:hAnsi="Arial" w:cs="Arial"/>
          <w:sz w:val="22"/>
          <w:szCs w:val="22"/>
        </w:rPr>
        <w:t xml:space="preserve">, ou Welfare State (Estado de Bem-Estar Social) surge em meados do século XIX, como resposta às alterações sociais ocorridas em função da industrialização e urbanização geradas com a Revolução Liberal. Segundo Flora &amp; Alber, um dos motivos para o </w:t>
      </w:r>
      <w:r w:rsidR="00A22B90" w:rsidRPr="00FD62A0">
        <w:rPr>
          <w:rFonts w:ascii="Arial" w:hAnsi="Arial" w:cs="Arial"/>
          <w:sz w:val="22"/>
          <w:szCs w:val="22"/>
        </w:rPr>
        <w:t>Estado-providência</w:t>
      </w:r>
      <w:r w:rsidRPr="00FD62A0">
        <w:rPr>
          <w:rFonts w:ascii="Arial" w:hAnsi="Arial" w:cs="Arial"/>
          <w:sz w:val="22"/>
          <w:szCs w:val="22"/>
        </w:rPr>
        <w:t xml:space="preserve"> foi a Revolução Liberal, com a qual a sociedade passou a se opor a conceitos de dependência e proteção vigentes até então. Neste sentido, </w:t>
      </w:r>
      <w:r w:rsidR="001231E5" w:rsidRPr="00FD62A0">
        <w:rPr>
          <w:rFonts w:ascii="Arial" w:hAnsi="Arial" w:cs="Arial"/>
          <w:sz w:val="22"/>
          <w:szCs w:val="22"/>
        </w:rPr>
        <w:t>Mozzicafreddo</w:t>
      </w:r>
      <w:r w:rsidRPr="00FD62A0">
        <w:rPr>
          <w:rFonts w:ascii="Arial" w:hAnsi="Arial" w:cs="Arial"/>
          <w:sz w:val="22"/>
          <w:szCs w:val="22"/>
        </w:rPr>
        <w:t xml:space="preserve"> aponta que os riscos sociais passam a ser coletivizados, sendo os indivíduos aptos a arcar com as responsabilidades individuais. (</w:t>
      </w:r>
      <w:r w:rsidR="001231E5" w:rsidRPr="00FD62A0">
        <w:rPr>
          <w:rFonts w:ascii="Arial" w:hAnsi="Arial" w:cs="Arial"/>
          <w:sz w:val="22"/>
          <w:szCs w:val="22"/>
        </w:rPr>
        <w:t>Mozzicafreddo</w:t>
      </w:r>
      <w:r w:rsidR="00581D23">
        <w:rPr>
          <w:rFonts w:ascii="Arial" w:hAnsi="Arial" w:cs="Arial"/>
          <w:sz w:val="22"/>
          <w:szCs w:val="22"/>
        </w:rPr>
        <w:t>, 1994</w:t>
      </w:r>
      <w:r w:rsidRPr="00FD62A0">
        <w:rPr>
          <w:rFonts w:ascii="Arial" w:hAnsi="Arial" w:cs="Arial"/>
          <w:sz w:val="22"/>
          <w:szCs w:val="22"/>
        </w:rPr>
        <w:t>)</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Este novo modelo estatal é caracterizado pela necessidade de assegurar os direitos mínimos dos indivíduos, sendo o Estado o responsável pela organização social e econômica.  Cabe ao Estado então garantir bens e serviços à sociedade desde o nascimento até a morte. Tais bens podem ser garantidos diretamente ou indiretamente, por meio de parcerias com o setor privado. As parcerias, entretanto, não eximem o Estado de promover as necessidades individuais da sociedade, continuando ele a ser o responsável por esse provimento.</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O </w:t>
      </w:r>
      <w:r w:rsidR="00A22B90" w:rsidRPr="00FD62A0">
        <w:rPr>
          <w:rFonts w:ascii="Arial" w:hAnsi="Arial" w:cs="Arial"/>
          <w:sz w:val="22"/>
          <w:szCs w:val="22"/>
        </w:rPr>
        <w:t>Estado-providência</w:t>
      </w:r>
      <w:r w:rsidRPr="00FD62A0">
        <w:rPr>
          <w:rFonts w:ascii="Arial" w:hAnsi="Arial" w:cs="Arial"/>
          <w:sz w:val="22"/>
          <w:szCs w:val="22"/>
        </w:rPr>
        <w:t>, segundo Flora &amp; Alber, passou por duas formas de intervenção: uma com a intervenção governamental e outra com a ação das democracias de massa. Na primeira fase, houve grande burocratização que permitiu que o Estado desenvolvesse sistemas paternalistas de apoio social, por meio da capacidade administrativa e aumento dos recursos adquiridos. Num segundo momento, a intervenção governamental perde espaço, sendo visto como mais importante a ação das democracias de massa. (Flora &amp; Alber, 1981)</w:t>
      </w:r>
    </w:p>
    <w:p w:rsidR="0031766E" w:rsidRPr="008A110B" w:rsidRDefault="001121B3" w:rsidP="0031766E">
      <w:pPr>
        <w:spacing w:line="360" w:lineRule="auto"/>
        <w:ind w:firstLine="708"/>
        <w:jc w:val="both"/>
        <w:rPr>
          <w:rFonts w:ascii="Arial" w:hAnsi="Arial" w:cs="Arial"/>
          <w:sz w:val="22"/>
          <w:szCs w:val="22"/>
        </w:rPr>
      </w:pPr>
      <w:r w:rsidRPr="00FD62A0">
        <w:rPr>
          <w:rFonts w:ascii="Arial" w:hAnsi="Arial" w:cs="Arial"/>
          <w:sz w:val="22"/>
          <w:szCs w:val="22"/>
        </w:rPr>
        <w:t xml:space="preserve">A implementação do </w:t>
      </w:r>
      <w:r w:rsidR="00A22B90" w:rsidRPr="00FD62A0">
        <w:rPr>
          <w:rFonts w:ascii="Arial" w:hAnsi="Arial" w:cs="Arial"/>
          <w:sz w:val="22"/>
          <w:szCs w:val="22"/>
        </w:rPr>
        <w:t>Estado-providência</w:t>
      </w:r>
      <w:r w:rsidRPr="00FD62A0">
        <w:rPr>
          <w:rFonts w:ascii="Arial" w:hAnsi="Arial" w:cs="Arial"/>
          <w:sz w:val="22"/>
          <w:szCs w:val="22"/>
        </w:rPr>
        <w:t xml:space="preserve">, além de associada às mudanças sociais e culturais advindas da Revolução Liberal, relacionou-se à disfuncionalidades de mercado e à mobilização social de associações laborais e profissionais. Neste sentido, </w:t>
      </w:r>
      <w:r w:rsidR="001231E5" w:rsidRPr="00FD62A0">
        <w:rPr>
          <w:rFonts w:ascii="Arial" w:hAnsi="Arial" w:cs="Arial"/>
          <w:sz w:val="22"/>
          <w:szCs w:val="22"/>
        </w:rPr>
        <w:t>Mozzicafreddo</w:t>
      </w:r>
      <w:r w:rsidRPr="00FD62A0">
        <w:rPr>
          <w:rFonts w:ascii="Arial" w:hAnsi="Arial" w:cs="Arial"/>
          <w:sz w:val="22"/>
          <w:szCs w:val="22"/>
        </w:rPr>
        <w:t xml:space="preserve"> afirma que as principais condicionantes para o surgimento deste modelo de Estado foram de ordem política e econômica. (</w:t>
      </w:r>
      <w:r w:rsidR="001231E5" w:rsidRPr="00FD62A0">
        <w:rPr>
          <w:rFonts w:ascii="Arial" w:hAnsi="Arial" w:cs="Arial"/>
          <w:sz w:val="22"/>
          <w:szCs w:val="22"/>
        </w:rPr>
        <w:t>Mozzicafreddo</w:t>
      </w:r>
      <w:r w:rsidR="00581D23">
        <w:rPr>
          <w:rFonts w:ascii="Arial" w:hAnsi="Arial" w:cs="Arial"/>
          <w:sz w:val="22"/>
          <w:szCs w:val="22"/>
        </w:rPr>
        <w:t>, 1994</w:t>
      </w:r>
      <w:r w:rsidRPr="00FD62A0">
        <w:rPr>
          <w:rFonts w:ascii="Arial" w:hAnsi="Arial" w:cs="Arial"/>
          <w:sz w:val="22"/>
          <w:szCs w:val="22"/>
        </w:rPr>
        <w:t xml:space="preserve">). Passada a fase de implementação do </w:t>
      </w:r>
      <w:r w:rsidR="00A22B90" w:rsidRPr="00FD62A0">
        <w:rPr>
          <w:rFonts w:ascii="Arial" w:hAnsi="Arial" w:cs="Arial"/>
          <w:sz w:val="22"/>
          <w:szCs w:val="22"/>
        </w:rPr>
        <w:t>Estado-providência</w:t>
      </w:r>
      <w:r w:rsidRPr="00FD62A0">
        <w:rPr>
          <w:rFonts w:ascii="Arial" w:hAnsi="Arial" w:cs="Arial"/>
          <w:sz w:val="22"/>
          <w:szCs w:val="22"/>
        </w:rPr>
        <w:t xml:space="preserve">, ao final da crise econômica deflagrada em 1929, e que veio a </w:t>
      </w:r>
      <w:r w:rsidRPr="00FD62A0">
        <w:rPr>
          <w:rFonts w:ascii="Arial" w:hAnsi="Arial" w:cs="Arial"/>
          <w:sz w:val="22"/>
          <w:szCs w:val="22"/>
        </w:rPr>
        <w:lastRenderedPageBreak/>
        <w:t xml:space="preserve">assolar a economia mundial como um todo, surgiram políticas públicas que visavam reerguer </w:t>
      </w:r>
      <w:r w:rsidRPr="0031766E">
        <w:rPr>
          <w:rFonts w:ascii="Arial" w:hAnsi="Arial" w:cs="Arial"/>
          <w:sz w:val="22"/>
          <w:szCs w:val="22"/>
        </w:rPr>
        <w:t xml:space="preserve">a economia. </w:t>
      </w:r>
      <w:r w:rsidR="0031766E" w:rsidRPr="008A110B">
        <w:rPr>
          <w:rFonts w:ascii="Arial" w:hAnsi="Arial" w:cs="Arial"/>
          <w:sz w:val="22"/>
          <w:szCs w:val="22"/>
        </w:rPr>
        <w:t xml:space="preserve">Uma política que condiz com essas mudanças é o neo-liberalismo. Este modelo vem combater a força de sindicatos e restringir a responsabilidade social do Estado. Restringir a responsabilidade social do Estado, entretanto, não significa restringir os direitos dos cidadãos. O que ocorre é que o Estado passa a dividir suas responsabilidades com o mercado e as instituições privadas. </w:t>
      </w:r>
    </w:p>
    <w:p w:rsidR="0031766E" w:rsidRPr="008A110B" w:rsidRDefault="0031766E" w:rsidP="0031766E">
      <w:pPr>
        <w:spacing w:line="360" w:lineRule="auto"/>
        <w:jc w:val="both"/>
        <w:rPr>
          <w:rFonts w:ascii="Arial" w:hAnsi="Arial" w:cs="Arial"/>
          <w:sz w:val="22"/>
          <w:szCs w:val="22"/>
        </w:rPr>
      </w:pPr>
      <w:r w:rsidRPr="008A110B">
        <w:rPr>
          <w:rFonts w:ascii="Arial" w:hAnsi="Arial" w:cs="Arial"/>
          <w:sz w:val="22"/>
          <w:szCs w:val="22"/>
        </w:rPr>
        <w:tab/>
        <w:t>O modelo foca na desregulamentação da economia, menor intervenção estatal, privatização de estatais e diminuição de gastos sociais como previdência, saúde ou educação. Foi implementado na tentativa de combater a crise ora instalada, estimulando maior fluxo de capitais e mercadorias.</w:t>
      </w:r>
    </w:p>
    <w:p w:rsidR="001121B3" w:rsidRPr="00FD62A0" w:rsidRDefault="001121B3" w:rsidP="0031766E">
      <w:pPr>
        <w:spacing w:line="360" w:lineRule="auto"/>
        <w:jc w:val="both"/>
        <w:rPr>
          <w:rFonts w:ascii="Arial" w:hAnsi="Arial" w:cs="Arial"/>
          <w:b/>
          <w:sz w:val="22"/>
          <w:szCs w:val="22"/>
        </w:rPr>
      </w:pPr>
      <w:r w:rsidRPr="0031766E">
        <w:rPr>
          <w:rFonts w:ascii="Arial" w:hAnsi="Arial" w:cs="Arial"/>
          <w:sz w:val="22"/>
          <w:szCs w:val="22"/>
        </w:rPr>
        <w:tab/>
        <w:t xml:space="preserve">O </w:t>
      </w:r>
      <w:r w:rsidR="00A22B90" w:rsidRPr="0031766E">
        <w:rPr>
          <w:rFonts w:ascii="Arial" w:hAnsi="Arial" w:cs="Arial"/>
          <w:sz w:val="22"/>
          <w:szCs w:val="22"/>
        </w:rPr>
        <w:t>Estado-providência</w:t>
      </w:r>
      <w:r w:rsidRPr="0031766E">
        <w:rPr>
          <w:rFonts w:ascii="Arial" w:hAnsi="Arial" w:cs="Arial"/>
          <w:sz w:val="22"/>
          <w:szCs w:val="22"/>
        </w:rPr>
        <w:t>, instituído então, embora seja um modelo, acaba sendo moldado diferentemente nas nações em que foi adotado. Tais diferenças consistem no fato de cada país possuir uma história própria, sendo guiados por caminhos e interesses</w:t>
      </w:r>
      <w:r w:rsidRPr="00FD62A0">
        <w:rPr>
          <w:rFonts w:ascii="Arial" w:hAnsi="Arial" w:cs="Arial"/>
          <w:sz w:val="22"/>
          <w:szCs w:val="22"/>
        </w:rPr>
        <w:t xml:space="preserve"> distintos. Entretanto, segundo Esping-Andersen, mesmo havendo modelos diferentes de </w:t>
      </w:r>
      <w:r w:rsidR="00A22B90" w:rsidRPr="00FD62A0">
        <w:rPr>
          <w:rFonts w:ascii="Arial" w:hAnsi="Arial" w:cs="Arial"/>
          <w:sz w:val="22"/>
          <w:szCs w:val="22"/>
        </w:rPr>
        <w:t>Estado-providência</w:t>
      </w:r>
      <w:r w:rsidRPr="00FD62A0">
        <w:rPr>
          <w:rFonts w:ascii="Arial" w:hAnsi="Arial" w:cs="Arial"/>
          <w:sz w:val="22"/>
          <w:szCs w:val="22"/>
        </w:rPr>
        <w:t xml:space="preserve">, a estrutura de modo geral coincide em três pilares: o governo, o mercado e a família, sendo eles os responsáveis por assegurar o bem estar da sociedade. Sendo assim, caso um destes falhe, os outros dois deverão se esforçar no sentido de compensar a sociedade. É na distribuição de responsabilidade entre os pilares que residem as diferenças entre os modelos de </w:t>
      </w:r>
      <w:r w:rsidR="00A22B90" w:rsidRPr="00FD62A0">
        <w:rPr>
          <w:rFonts w:ascii="Arial" w:hAnsi="Arial" w:cs="Arial"/>
          <w:sz w:val="22"/>
          <w:szCs w:val="22"/>
        </w:rPr>
        <w:t>Estado-providência</w:t>
      </w:r>
      <w:r w:rsidRPr="00FD62A0">
        <w:rPr>
          <w:rFonts w:ascii="Arial" w:hAnsi="Arial" w:cs="Arial"/>
          <w:sz w:val="22"/>
          <w:szCs w:val="22"/>
        </w:rPr>
        <w:t>. (Esping-Andersen, 2002)</w:t>
      </w:r>
      <w:r w:rsidR="006B7191" w:rsidRPr="00FD62A0">
        <w:rPr>
          <w:rFonts w:ascii="Arial" w:hAnsi="Arial" w:cs="Arial"/>
          <w:sz w:val="22"/>
          <w:szCs w:val="22"/>
        </w:rPr>
        <w:t xml:space="preserve"> </w:t>
      </w:r>
      <w:r w:rsidRPr="00FD62A0">
        <w:rPr>
          <w:rFonts w:ascii="Arial" w:hAnsi="Arial" w:cs="Arial"/>
          <w:sz w:val="22"/>
          <w:szCs w:val="22"/>
        </w:rPr>
        <w:t xml:space="preserve">De forma ampla, pode-se destacar três tipos de </w:t>
      </w:r>
      <w:r w:rsidR="00A22B90" w:rsidRPr="00FD62A0">
        <w:rPr>
          <w:rFonts w:ascii="Arial" w:hAnsi="Arial" w:cs="Arial"/>
          <w:sz w:val="22"/>
          <w:szCs w:val="22"/>
        </w:rPr>
        <w:t>Estado-providência</w:t>
      </w:r>
      <w:r w:rsidRPr="00FD62A0">
        <w:rPr>
          <w:rFonts w:ascii="Arial" w:hAnsi="Arial" w:cs="Arial"/>
          <w:sz w:val="22"/>
          <w:szCs w:val="22"/>
        </w:rPr>
        <w:t>: o modelo nórdico, o liberal e o europeu continental.</w:t>
      </w:r>
      <w:r w:rsidRPr="00FD62A0">
        <w:rPr>
          <w:rFonts w:ascii="Arial" w:hAnsi="Arial" w:cs="Arial"/>
          <w:b/>
          <w:sz w:val="22"/>
          <w:szCs w:val="22"/>
        </w:rPr>
        <w:t xml:space="preserve"> </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A partir da década de 1980, entretanto, o </w:t>
      </w:r>
      <w:r w:rsidR="00A22B90" w:rsidRPr="00FD62A0">
        <w:rPr>
          <w:rFonts w:ascii="Arial" w:hAnsi="Arial" w:cs="Arial"/>
          <w:sz w:val="22"/>
          <w:szCs w:val="22"/>
        </w:rPr>
        <w:t>Estado-providência</w:t>
      </w:r>
      <w:r w:rsidRPr="00FD62A0">
        <w:rPr>
          <w:rFonts w:ascii="Arial" w:hAnsi="Arial" w:cs="Arial"/>
          <w:sz w:val="22"/>
          <w:szCs w:val="22"/>
        </w:rPr>
        <w:t xml:space="preserve"> vem a ser revisto, pois embora o Estado esteja crescendo, ele é limitado pelos grupos sociais. Esping-Andersen afirma que o que pode levar a sociedade a mudar sua forma de pensar e agir são os riscos sociais </w:t>
      </w:r>
      <w:smartTag w:uri="urn:schemas-microsoft-com:office:smarttags" w:element="PersonName">
        <w:smartTagPr>
          <w:attr w:name="ProductID" w:val="em transforma￧￣o. Ou"/>
        </w:smartTagPr>
        <w:r w:rsidRPr="00FD62A0">
          <w:rPr>
            <w:rFonts w:ascii="Arial" w:hAnsi="Arial" w:cs="Arial"/>
            <w:sz w:val="22"/>
            <w:szCs w:val="22"/>
          </w:rPr>
          <w:t>em transformação. Ou</w:t>
        </w:r>
      </w:smartTag>
      <w:r w:rsidRPr="00FD62A0">
        <w:rPr>
          <w:rFonts w:ascii="Arial" w:hAnsi="Arial" w:cs="Arial"/>
          <w:sz w:val="22"/>
          <w:szCs w:val="22"/>
        </w:rPr>
        <w:t xml:space="preserve"> seja, ao ver seu bem-estar </w:t>
      </w:r>
      <w:r w:rsidR="005E11E5" w:rsidRPr="00FD62A0">
        <w:rPr>
          <w:rFonts w:ascii="Arial" w:hAnsi="Arial" w:cs="Arial"/>
          <w:sz w:val="22"/>
          <w:szCs w:val="22"/>
        </w:rPr>
        <w:t>ameaçado</w:t>
      </w:r>
      <w:r w:rsidRPr="00FD62A0">
        <w:rPr>
          <w:rFonts w:ascii="Arial" w:hAnsi="Arial" w:cs="Arial"/>
          <w:sz w:val="22"/>
          <w:szCs w:val="22"/>
        </w:rPr>
        <w:t xml:space="preserve"> em decorrência de riscos sociais, a sociedade pode aceitar melhor as transformações, levando assim à necessidade do processo de modernização. A modernização é baseada no interrelacionamento causal entre economia e crescimento populacional, mobilização psíquica e social, assim como é influenciado por mudanças de cunho cultural, político e econômico. Este processo, que mobiliza pessoas, bens e ideias é cada vez mais recorrente, até mesmo em função das influências trazidas com a globalização. (Esping-Andersen, 2002)</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Leibfried &amp; Zürn afirmam que para manter o padrão e os valores sociais atuais, é necessário que haja reconfiguração das estruturas e instituições. Nesse sentido, o Estado precisa se adaptar a novos cenários que surgem no contexto do mundo globalizado. Tal fato cria a necessidade de se empreender reformas na Administração Pública, na organização estatal, na sociedade e nas políticas públicas. Apesar de a globalização </w:t>
      </w:r>
      <w:r w:rsidRPr="00FD62A0">
        <w:rPr>
          <w:rFonts w:ascii="Arial" w:hAnsi="Arial" w:cs="Arial"/>
          <w:sz w:val="22"/>
          <w:szCs w:val="22"/>
        </w:rPr>
        <w:lastRenderedPageBreak/>
        <w:t>influenciar no processo de modernização dos Estados, interferindo em suas estruturas nacionais, Leibfried &amp; Zürn afirmam que as transformações econômicas e sociais ocorrem de forma mais rápida do que a política nacional é capaz de acompanhar. Sendo assim, a nação como um todo se vê frente a uma situação de incertezas e novos riscos, reforçando assim a necessidade de mudança. (Leibfried &amp; Zürn, 2005)</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A </w:t>
      </w:r>
      <w:r w:rsidR="00A22B90" w:rsidRPr="00FD62A0">
        <w:rPr>
          <w:rFonts w:ascii="Arial" w:hAnsi="Arial" w:cs="Arial"/>
          <w:sz w:val="22"/>
          <w:szCs w:val="22"/>
        </w:rPr>
        <w:t>morosidade</w:t>
      </w:r>
      <w:r w:rsidRPr="00FD62A0">
        <w:rPr>
          <w:rFonts w:ascii="Arial" w:hAnsi="Arial" w:cs="Arial"/>
          <w:sz w:val="22"/>
          <w:szCs w:val="22"/>
        </w:rPr>
        <w:t xml:space="preserve"> do Estado em responder aos problemas que surgem com a modernização, agrava os efeitos negativos que já ocorrem em cenários de mudança como este, e que afetam todas as quatro dimensões do Estado. Entre os problemas enfrentados, pode-se destacar tanto problemas que interferem diretamente no bem-estar da sociedade – como o aumento do desemprego, a crescente demanda por serviços sociais, a exclusão social, assim como problemas que remetem ao governo - como a perda de arrecadação e a perda de competitividade. Nesse contexto, é possível visualizar a necessidade de uma reforma do Estado e da Administração Pública praticada até então, no sentido de adaptar ou substituir os atuais modelos de </w:t>
      </w:r>
      <w:r w:rsidR="00A22B90" w:rsidRPr="00FD62A0">
        <w:rPr>
          <w:rFonts w:ascii="Arial" w:hAnsi="Arial" w:cs="Arial"/>
          <w:sz w:val="22"/>
          <w:szCs w:val="22"/>
        </w:rPr>
        <w:t>Estado-providência</w:t>
      </w:r>
      <w:r w:rsidRPr="00FD62A0">
        <w:rPr>
          <w:rFonts w:ascii="Arial" w:hAnsi="Arial" w:cs="Arial"/>
          <w:sz w:val="22"/>
          <w:szCs w:val="22"/>
        </w:rPr>
        <w:t>, buscando um modelo que corresponda à nova realidade das nações.</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Putnam afirma que a relação de subordinação entre os níveis das relações internacionais e das relações domésticas não é algo simples de delimitar, sendo difícil afirmar qual nível influencia mais o outro. No nível das relações nacionais, a sociedade com seus grupos organizados age em busca da melhoria de seu bem-estar. Por outro lado, no nível internacional, os Estados e organizações buscam assegurar seus interesses e o aumento de sua influencia no cenário internacional, a fim de se tornarem menos vulneráveis. O que é visto como uma ação racional em um nível pode não ser racional para o outro nível. Nesse sentido, há um dilema entre buscar o fortalecimento nacional a nível internacional ou buscar satisfazer as necessidades da sociedade no nível doméstico. (Putnam, 1993)</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No contexto da reforma, ganham importância a democracia e a cidadania. A democracia, sendo parte da legitimidade do Estado, cria a necessidade de que para que a reforma se dê de forma satisfatória, ela ocorra em ambiente democrático. A cidadania, por sua vez, se relaciona com a democracia, e é a principal forma de criação de novos direitos sociais que deverão pautar a reforma. É no espaço democrático que o cidadão irá atuar, exercendo sua cidadania para modificar a situação atual.  </w:t>
      </w:r>
    </w:p>
    <w:p w:rsidR="00B50403" w:rsidRPr="00FD62A0" w:rsidRDefault="00B50403" w:rsidP="00BF4427">
      <w:pPr>
        <w:spacing w:line="360" w:lineRule="auto"/>
        <w:jc w:val="both"/>
        <w:rPr>
          <w:rFonts w:ascii="Arial" w:hAnsi="Arial" w:cs="Arial"/>
          <w:sz w:val="22"/>
          <w:szCs w:val="22"/>
        </w:rPr>
      </w:pPr>
    </w:p>
    <w:p w:rsidR="001121B3" w:rsidRPr="00FD62A0" w:rsidRDefault="00026B3E" w:rsidP="00BF4427">
      <w:pPr>
        <w:spacing w:line="360" w:lineRule="auto"/>
        <w:jc w:val="both"/>
        <w:rPr>
          <w:rFonts w:ascii="Arial" w:hAnsi="Arial" w:cs="Arial"/>
          <w:b/>
          <w:sz w:val="22"/>
          <w:szCs w:val="22"/>
        </w:rPr>
      </w:pPr>
      <w:r w:rsidRPr="00FD62A0">
        <w:rPr>
          <w:rFonts w:ascii="Arial" w:hAnsi="Arial" w:cs="Arial"/>
          <w:b/>
          <w:sz w:val="22"/>
          <w:szCs w:val="22"/>
        </w:rPr>
        <w:t>1.2</w:t>
      </w:r>
      <w:r w:rsidR="001121B3" w:rsidRPr="00FD62A0">
        <w:rPr>
          <w:rFonts w:ascii="Arial" w:hAnsi="Arial" w:cs="Arial"/>
          <w:b/>
          <w:sz w:val="22"/>
          <w:szCs w:val="22"/>
        </w:rPr>
        <w:t>. A nova Administração Pública</w:t>
      </w:r>
    </w:p>
    <w:p w:rsidR="001121B3" w:rsidRPr="00FD62A0" w:rsidRDefault="001121B3" w:rsidP="00BF4427">
      <w:pPr>
        <w:spacing w:line="360" w:lineRule="auto"/>
        <w:jc w:val="both"/>
        <w:rPr>
          <w:rFonts w:ascii="Arial" w:hAnsi="Arial" w:cs="Arial"/>
          <w:sz w:val="22"/>
          <w:szCs w:val="22"/>
        </w:rPr>
      </w:pPr>
    </w:p>
    <w:p w:rsidR="00393757" w:rsidRPr="00FD62A0" w:rsidRDefault="00393757" w:rsidP="00393757">
      <w:pPr>
        <w:spacing w:line="360" w:lineRule="auto"/>
        <w:jc w:val="both"/>
        <w:rPr>
          <w:rFonts w:ascii="Arial" w:hAnsi="Arial" w:cs="Arial"/>
          <w:sz w:val="22"/>
          <w:szCs w:val="22"/>
        </w:rPr>
      </w:pPr>
      <w:r w:rsidRPr="00FD62A0">
        <w:rPr>
          <w:rFonts w:ascii="Arial" w:hAnsi="Arial" w:cs="Arial"/>
          <w:sz w:val="22"/>
          <w:szCs w:val="22"/>
        </w:rPr>
        <w:t xml:space="preserve">Antes de abordar o tema da reforma da Administração Pública, convém porém conceituá-la. Em uma visão mais simplista, pode-se afirmar que por Administração Pública entende-se o conjunto de pessoas e órgãos que atuam em função do exercício da ação executiva do </w:t>
      </w:r>
      <w:r w:rsidRPr="00FD62A0">
        <w:rPr>
          <w:rFonts w:ascii="Arial" w:hAnsi="Arial" w:cs="Arial"/>
          <w:sz w:val="22"/>
          <w:szCs w:val="22"/>
        </w:rPr>
        <w:lastRenderedPageBreak/>
        <w:t xml:space="preserve">Estado. Mozzicafreddo a conceitua, destacando ainda que ora ela leva à modernização, como ora é beneficiada por ela, como segue: </w:t>
      </w:r>
    </w:p>
    <w:p w:rsidR="00393757" w:rsidRPr="00FD62A0" w:rsidRDefault="00393757" w:rsidP="00393757">
      <w:pPr>
        <w:spacing w:line="360" w:lineRule="auto"/>
        <w:ind w:left="851"/>
        <w:jc w:val="both"/>
        <w:rPr>
          <w:rFonts w:ascii="Arial" w:hAnsi="Arial" w:cs="Arial"/>
          <w:sz w:val="20"/>
          <w:szCs w:val="20"/>
        </w:rPr>
      </w:pPr>
      <w:r w:rsidRPr="00FD62A0">
        <w:rPr>
          <w:rFonts w:ascii="Arial" w:hAnsi="Arial" w:cs="Arial"/>
          <w:sz w:val="20"/>
          <w:szCs w:val="20"/>
        </w:rPr>
        <w:t>A Administração Pública, enquanto conceito e estrutura de administração ou de gestão das sociedades, pode-se equacionar, visto desde uma perspectiva histórica, como instituição que se adapta, transforma e acompanha a evolução do conjunto da sociedade e das suas instituições. Em algumas fases, contribui com a sua característica funcional – que não é sempre a mesma – para a alteração de outras instituições das sociedades; noutras, é a própria Administração Pública que beneficia do movimento de modernização de outras instituições. (Mozzicafreddo, 2008)</w:t>
      </w:r>
    </w:p>
    <w:p w:rsidR="00393757" w:rsidRPr="00FD62A0" w:rsidRDefault="00393757" w:rsidP="00E87BC9">
      <w:pPr>
        <w:spacing w:line="360" w:lineRule="auto"/>
        <w:ind w:firstLine="851"/>
        <w:jc w:val="both"/>
        <w:rPr>
          <w:rFonts w:ascii="Arial" w:hAnsi="Arial" w:cs="Arial"/>
          <w:sz w:val="22"/>
          <w:szCs w:val="22"/>
        </w:rPr>
      </w:pPr>
      <w:r w:rsidRPr="00FD62A0">
        <w:rPr>
          <w:rFonts w:ascii="Arial" w:hAnsi="Arial" w:cs="Arial"/>
          <w:sz w:val="22"/>
          <w:szCs w:val="22"/>
        </w:rPr>
        <w:t>Apesar de ser possível conceituá-la, a Administração Pública não é uma estrutura rígida, sendo passível de mudanças de acordo com as n</w:t>
      </w:r>
      <w:r w:rsidR="00E87BC9" w:rsidRPr="00FD62A0">
        <w:rPr>
          <w:rFonts w:ascii="Arial" w:hAnsi="Arial" w:cs="Arial"/>
          <w:sz w:val="22"/>
          <w:szCs w:val="22"/>
        </w:rPr>
        <w:t>ecessidades sociais e estatais, conforme observa-se abaixo.</w:t>
      </w:r>
    </w:p>
    <w:p w:rsidR="001121B3" w:rsidRPr="00FD62A0" w:rsidRDefault="00E87BC9" w:rsidP="00BF4427">
      <w:pPr>
        <w:spacing w:line="360" w:lineRule="auto"/>
        <w:jc w:val="both"/>
        <w:rPr>
          <w:rFonts w:ascii="Arial" w:hAnsi="Arial" w:cs="Arial"/>
          <w:sz w:val="22"/>
          <w:szCs w:val="22"/>
        </w:rPr>
      </w:pPr>
      <w:r w:rsidRPr="00FD62A0">
        <w:rPr>
          <w:rFonts w:ascii="Arial" w:hAnsi="Arial" w:cs="Arial"/>
          <w:sz w:val="22"/>
          <w:szCs w:val="22"/>
        </w:rPr>
        <w:tab/>
      </w:r>
      <w:r w:rsidR="001121B3" w:rsidRPr="00FD62A0">
        <w:rPr>
          <w:rFonts w:ascii="Arial" w:hAnsi="Arial" w:cs="Arial"/>
          <w:sz w:val="22"/>
          <w:szCs w:val="22"/>
        </w:rPr>
        <w:t xml:space="preserve">Apesar da constatação da necessidade de reformas administrativas nos países em que se instituiu o modelo de </w:t>
      </w:r>
      <w:r w:rsidR="00A22B90" w:rsidRPr="00FD62A0">
        <w:rPr>
          <w:rFonts w:ascii="Arial" w:hAnsi="Arial" w:cs="Arial"/>
          <w:sz w:val="22"/>
          <w:szCs w:val="22"/>
        </w:rPr>
        <w:t>Estado-providência</w:t>
      </w:r>
      <w:r w:rsidR="001121B3" w:rsidRPr="00FD62A0">
        <w:rPr>
          <w:rFonts w:ascii="Arial" w:hAnsi="Arial" w:cs="Arial"/>
          <w:sz w:val="22"/>
          <w:szCs w:val="22"/>
        </w:rPr>
        <w:t xml:space="preserve">, </w:t>
      </w:r>
      <w:r w:rsidR="00647C02" w:rsidRPr="00FD62A0">
        <w:rPr>
          <w:rFonts w:ascii="Arial" w:hAnsi="Arial" w:cs="Arial"/>
          <w:sz w:val="22"/>
          <w:szCs w:val="22"/>
        </w:rPr>
        <w:t>notadamente os países europeus, Araujo</w:t>
      </w:r>
      <w:r w:rsidR="001121B3" w:rsidRPr="00FD62A0">
        <w:rPr>
          <w:rFonts w:ascii="Arial" w:hAnsi="Arial" w:cs="Arial"/>
          <w:sz w:val="22"/>
          <w:szCs w:val="22"/>
        </w:rPr>
        <w:t xml:space="preserve"> ressalta que tais reformas não podem ser vistas como unidade, uma vez que os países </w:t>
      </w:r>
      <w:r w:rsidR="00655F2A" w:rsidRPr="00FD62A0">
        <w:rPr>
          <w:rFonts w:ascii="Arial" w:hAnsi="Arial" w:cs="Arial"/>
          <w:sz w:val="22"/>
          <w:szCs w:val="22"/>
        </w:rPr>
        <w:t>passam por contextos sócio-econômicos diferentes no momento da reforma.</w:t>
      </w:r>
      <w:r w:rsidR="00E07B89" w:rsidRPr="00FD62A0">
        <w:rPr>
          <w:rFonts w:ascii="Arial" w:hAnsi="Arial" w:cs="Arial"/>
          <w:sz w:val="22"/>
          <w:szCs w:val="22"/>
        </w:rPr>
        <w:t xml:space="preserve"> (Araújo, 2000) </w:t>
      </w:r>
    </w:p>
    <w:p w:rsidR="00E07B89" w:rsidRPr="00FD62A0" w:rsidRDefault="00E07B89" w:rsidP="00BF4427">
      <w:pPr>
        <w:spacing w:line="360" w:lineRule="auto"/>
        <w:jc w:val="both"/>
        <w:rPr>
          <w:rFonts w:ascii="Arial" w:hAnsi="Arial" w:cs="Arial"/>
          <w:sz w:val="22"/>
          <w:szCs w:val="22"/>
        </w:rPr>
      </w:pPr>
      <w:r w:rsidRPr="00FD62A0">
        <w:rPr>
          <w:rFonts w:ascii="Arial" w:hAnsi="Arial" w:cs="Arial"/>
          <w:sz w:val="22"/>
          <w:szCs w:val="22"/>
        </w:rPr>
        <w:tab/>
        <w:t>Mascarenhas afirma que três foram as principais raz</w:t>
      </w:r>
      <w:r w:rsidR="001A5223" w:rsidRPr="00FD62A0">
        <w:rPr>
          <w:rFonts w:ascii="Arial" w:hAnsi="Arial" w:cs="Arial"/>
          <w:sz w:val="22"/>
          <w:szCs w:val="22"/>
        </w:rPr>
        <w:t>ões que contribuíram para a institucionalização das reformas. S</w:t>
      </w:r>
      <w:r w:rsidR="00BD5261" w:rsidRPr="00FD62A0">
        <w:rPr>
          <w:rFonts w:ascii="Arial" w:hAnsi="Arial" w:cs="Arial"/>
          <w:sz w:val="22"/>
          <w:szCs w:val="22"/>
        </w:rPr>
        <w:t>ão eles: a cri</w:t>
      </w:r>
      <w:r w:rsidR="001A5223" w:rsidRPr="00FD62A0">
        <w:rPr>
          <w:rFonts w:ascii="Arial" w:hAnsi="Arial" w:cs="Arial"/>
          <w:sz w:val="22"/>
          <w:szCs w:val="22"/>
        </w:rPr>
        <w:t xml:space="preserve">se econômica e a internacionalização das economias; a dimensão do </w:t>
      </w:r>
      <w:r w:rsidR="001A5223" w:rsidRPr="00FD62A0">
        <w:rPr>
          <w:rFonts w:ascii="Arial" w:hAnsi="Arial" w:cs="Arial"/>
          <w:i/>
          <w:sz w:val="22"/>
          <w:szCs w:val="22"/>
        </w:rPr>
        <w:t>welfare state</w:t>
      </w:r>
      <w:r w:rsidR="00BD5261" w:rsidRPr="00FD62A0">
        <w:rPr>
          <w:rFonts w:ascii="Arial" w:hAnsi="Arial" w:cs="Arial"/>
          <w:sz w:val="22"/>
          <w:szCs w:val="22"/>
        </w:rPr>
        <w:t xml:space="preserve"> e as pressões sobre os recursos públicos</w:t>
      </w:r>
      <w:r w:rsidR="0024743A" w:rsidRPr="00FD62A0">
        <w:rPr>
          <w:rFonts w:ascii="Arial" w:hAnsi="Arial" w:cs="Arial"/>
          <w:sz w:val="22"/>
          <w:szCs w:val="22"/>
        </w:rPr>
        <w:t xml:space="preserve">, e a influência do </w:t>
      </w:r>
      <w:r w:rsidR="0024743A" w:rsidRPr="00FD62A0">
        <w:rPr>
          <w:rFonts w:ascii="Arial" w:hAnsi="Arial" w:cs="Arial"/>
          <w:i/>
          <w:sz w:val="22"/>
          <w:szCs w:val="22"/>
        </w:rPr>
        <w:t>New Right</w:t>
      </w:r>
      <w:r w:rsidR="005A0FE5" w:rsidRPr="00FD62A0">
        <w:rPr>
          <w:rStyle w:val="Refdenotaderodap"/>
          <w:rFonts w:ascii="Arial" w:hAnsi="Arial" w:cs="Arial"/>
          <w:i/>
          <w:sz w:val="22"/>
          <w:szCs w:val="22"/>
        </w:rPr>
        <w:footnoteReference w:id="2"/>
      </w:r>
      <w:r w:rsidR="0024743A" w:rsidRPr="00FD62A0">
        <w:rPr>
          <w:rFonts w:ascii="Arial" w:hAnsi="Arial" w:cs="Arial"/>
          <w:sz w:val="22"/>
          <w:szCs w:val="22"/>
        </w:rPr>
        <w:t>, baseado em abordagens voltadas para o mercado. (Mascarenhas, 1993)</w:t>
      </w:r>
      <w:r w:rsidR="004D6613" w:rsidRPr="00FD62A0">
        <w:rPr>
          <w:rFonts w:ascii="Arial" w:hAnsi="Arial" w:cs="Arial"/>
          <w:sz w:val="22"/>
          <w:szCs w:val="22"/>
        </w:rPr>
        <w:t xml:space="preserve"> </w:t>
      </w:r>
      <w:r w:rsidR="004537A7" w:rsidRPr="00FD62A0">
        <w:rPr>
          <w:rFonts w:ascii="Arial" w:hAnsi="Arial" w:cs="Arial"/>
          <w:sz w:val="22"/>
          <w:szCs w:val="22"/>
        </w:rPr>
        <w:t>A forma de gerir, utilizada até então, passou a criar efeitos adversos como inflação e desemprego, sendo ineficazes para controlar a crise fiscal que se espalhava pelo mundo.</w:t>
      </w:r>
      <w:r w:rsidR="00E9210E" w:rsidRPr="00FD62A0">
        <w:rPr>
          <w:rFonts w:ascii="Arial" w:hAnsi="Arial" w:cs="Arial"/>
          <w:sz w:val="22"/>
          <w:szCs w:val="22"/>
        </w:rPr>
        <w:t xml:space="preserve"> A Administração Pública havia tornado-se uma massa inchada e ineficiente.</w:t>
      </w:r>
    </w:p>
    <w:p w:rsidR="004D6613" w:rsidRPr="00FD62A0" w:rsidRDefault="004D6613" w:rsidP="00BF4427">
      <w:pPr>
        <w:spacing w:line="360" w:lineRule="auto"/>
        <w:jc w:val="both"/>
        <w:rPr>
          <w:rFonts w:ascii="Arial" w:hAnsi="Arial" w:cs="Arial"/>
          <w:sz w:val="22"/>
          <w:szCs w:val="22"/>
        </w:rPr>
      </w:pPr>
      <w:r w:rsidRPr="00FD62A0">
        <w:rPr>
          <w:rFonts w:ascii="Arial" w:hAnsi="Arial" w:cs="Arial"/>
          <w:sz w:val="22"/>
          <w:szCs w:val="22"/>
        </w:rPr>
        <w:tab/>
        <w:t xml:space="preserve">A já decadente administração pública, </w:t>
      </w:r>
      <w:r w:rsidR="00E9210E" w:rsidRPr="00FD62A0">
        <w:rPr>
          <w:rFonts w:ascii="Arial" w:hAnsi="Arial" w:cs="Arial"/>
          <w:sz w:val="22"/>
          <w:szCs w:val="22"/>
        </w:rPr>
        <w:t xml:space="preserve">associada ao cenário internacional de crise e ainda </w:t>
      </w:r>
      <w:r w:rsidR="00202951" w:rsidRPr="00FD62A0">
        <w:rPr>
          <w:rFonts w:ascii="Arial" w:hAnsi="Arial" w:cs="Arial"/>
          <w:sz w:val="22"/>
          <w:szCs w:val="22"/>
        </w:rPr>
        <w:t>à</w:t>
      </w:r>
      <w:r w:rsidR="00E9210E" w:rsidRPr="00FD62A0">
        <w:rPr>
          <w:rFonts w:ascii="Arial" w:hAnsi="Arial" w:cs="Arial"/>
          <w:sz w:val="22"/>
          <w:szCs w:val="22"/>
        </w:rPr>
        <w:t xml:space="preserve">s ideias </w:t>
      </w:r>
      <w:r w:rsidR="002E7287" w:rsidRPr="00FD62A0">
        <w:rPr>
          <w:rFonts w:ascii="Arial" w:hAnsi="Arial" w:cs="Arial"/>
          <w:sz w:val="22"/>
          <w:szCs w:val="22"/>
        </w:rPr>
        <w:t>de mudança que já rondavam os países, formaram cenário propício para que se estabelecessem as reformas. Uma vez instituídas as reformas, cada país, orientando-se por seu contexto, se posiciona de maneira diferente.</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A respeito das reformas administrativas, Bresser Pereira ressalta que da Segunda Guerra Mundial em diante, se constata maior reafirmação dos valores burocráticos, assim como se tornam mais influentes os valores da administração empresarial. Neste período, as noções de descentralização e flexibilização administrativa passam a ter maior espaço dentro da Administração Pública. Entretanto, apesar das mudanças que se iniciavam, as reformas em si passam a ganhar mais força nas décadas de 1970-1980, iniciando-se assim uma revolução administrativa nos países centrais. (Bresser Pereira, 1998)</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lastRenderedPageBreak/>
        <w:t>José Matias-Pereira destaca que as reformas administrativas ocorridas no mundo contemporâneo foram em sua maioria estimuladas pelo Consenso de Washington que destacava a importância das capacidades burocráticas para a promoção do crescimento (Pereira, 2008). Na mesma linha, Bresser Pereira ressalta que enquanto o Estado detinha menos funções, como garantir as propriedades e os contratos, a burocracia não era algo indispensável</w:t>
      </w:r>
      <w:r w:rsidRPr="00FD62A0">
        <w:rPr>
          <w:rStyle w:val="Refdenotaderodap"/>
          <w:rFonts w:ascii="Arial" w:hAnsi="Arial" w:cs="Arial"/>
          <w:sz w:val="22"/>
          <w:szCs w:val="22"/>
        </w:rPr>
        <w:footnoteReference w:id="3"/>
      </w:r>
      <w:r w:rsidRPr="00FD62A0">
        <w:rPr>
          <w:rFonts w:ascii="Arial" w:hAnsi="Arial" w:cs="Arial"/>
          <w:sz w:val="22"/>
          <w:szCs w:val="22"/>
        </w:rPr>
        <w:t>. (Bresser Pereira, 1998)</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Tal fato mudou, entretanto, a partir do momento em que o Estado se transformou no que se conhece hoje como Estado social, como se pode constatar </w:t>
      </w:r>
      <w:r w:rsidR="006A338B" w:rsidRPr="00FD62A0">
        <w:rPr>
          <w:rFonts w:ascii="Arial" w:hAnsi="Arial" w:cs="Arial"/>
          <w:sz w:val="22"/>
          <w:szCs w:val="22"/>
        </w:rPr>
        <w:t>na</w:t>
      </w:r>
      <w:r w:rsidRPr="00FD62A0">
        <w:rPr>
          <w:rFonts w:ascii="Arial" w:hAnsi="Arial" w:cs="Arial"/>
          <w:sz w:val="22"/>
          <w:szCs w:val="22"/>
        </w:rPr>
        <w:t xml:space="preserve"> afirmação</w:t>
      </w:r>
      <w:r w:rsidR="006A338B" w:rsidRPr="00FD62A0">
        <w:rPr>
          <w:rFonts w:ascii="Arial" w:hAnsi="Arial" w:cs="Arial"/>
          <w:sz w:val="22"/>
          <w:szCs w:val="22"/>
        </w:rPr>
        <w:t xml:space="preserve"> de Bresser Pereira</w:t>
      </w:r>
      <w:r w:rsidRPr="00FD62A0">
        <w:rPr>
          <w:rFonts w:ascii="Arial" w:hAnsi="Arial" w:cs="Arial"/>
          <w:sz w:val="22"/>
          <w:szCs w:val="22"/>
        </w:rPr>
        <w:t>:</w:t>
      </w:r>
    </w:p>
    <w:p w:rsidR="001121B3" w:rsidRPr="00FD62A0" w:rsidRDefault="001121B3" w:rsidP="00BF4427">
      <w:pPr>
        <w:autoSpaceDE w:val="0"/>
        <w:autoSpaceDN w:val="0"/>
        <w:adjustRightInd w:val="0"/>
        <w:spacing w:line="360" w:lineRule="auto"/>
        <w:ind w:left="709"/>
        <w:jc w:val="both"/>
        <w:rPr>
          <w:rFonts w:ascii="Arial" w:hAnsi="Arial" w:cs="TimesNewRoman"/>
          <w:sz w:val="20"/>
          <w:szCs w:val="20"/>
        </w:rPr>
      </w:pPr>
      <w:r w:rsidRPr="00FD62A0">
        <w:rPr>
          <w:rFonts w:ascii="Arial" w:hAnsi="Arial" w:cs="TimesNewRoman"/>
          <w:sz w:val="20"/>
          <w:szCs w:val="20"/>
        </w:rPr>
        <w:t>No momento, entretanto, que o Estado se transformou no grande Estado social e econômico do século XX, assumindo um número crescente de serviços sociais</w:t>
      </w:r>
      <w:r w:rsidR="006A338B" w:rsidRPr="00FD62A0">
        <w:rPr>
          <w:rFonts w:ascii="Arial" w:hAnsi="Arial" w:cs="TimesNewRoman"/>
          <w:sz w:val="20"/>
          <w:szCs w:val="20"/>
        </w:rPr>
        <w:t xml:space="preserve"> (...)</w:t>
      </w:r>
      <w:r w:rsidR="006A338B" w:rsidRPr="00FD62A0">
        <w:rPr>
          <w:rStyle w:val="Refdenotaderodap"/>
          <w:rFonts w:ascii="Arial" w:hAnsi="Arial" w:cs="TimesNewRoman"/>
          <w:sz w:val="20"/>
          <w:szCs w:val="20"/>
        </w:rPr>
        <w:footnoteReference w:id="4"/>
      </w:r>
      <w:r w:rsidRPr="00FD62A0">
        <w:rPr>
          <w:rFonts w:ascii="Arial" w:hAnsi="Arial" w:cs="TimesNewRoman"/>
          <w:sz w:val="20"/>
          <w:szCs w:val="20"/>
        </w:rPr>
        <w:t>- nesse momento, o problema da eficiência tornou-se essencial. Por outro lado a expansão do Estado respondia não só às pressões da sociedade mas também às estratégias de crescimento da própria burocracia. A necessidade de uma administração pública gerencial, portanto, decorre de problemas não só de crescimento e da decorrente diferenciação de estruturas e complexidade crescente da pauta de problemas a serem enfrentados, mas também de legitimação da burocracia perante as demandas da cidadania (Bresser Pereira, 1996)</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David Ferraz afirma que a Administração Pública, tida como estrutura destinada a serviço do Estado, surge no período de transição entre o Estado Absoluto e o Estado Liberal, onde ocorre também a separação entre as esferas pública e privada. O autor destaca que, com a evolução do Estado e dos sistemas administrativos, surgiram três modelos de administração: a Administração Napoleônica, a Administração Prussiana e a Administração Anglo-Saxônica. O que os modelos tem em comum é a configuração instrumental do poder político, sendo subordinados ao poder político e à ordem jurídica. Durante sua evolução, foi-se delimitando as fronteiras entre política e administração, estabelecendo assim as funções de cada esfera. (Ferraz, 2008)</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Tal tendência levou ao surgimento em vários países, dos primeiros estatutos dos funcionários públicos onde eram listados seus direitos e obrigações.  Com o tempo, novas atribuições e valores passaram a ser requeridos dos funcionários: competência, caráter, lealdade. A crescente profissionalização dos funcionários e burocratização dos sistemas criou ambiente propício para hierarquização e corporativismo, o que permitiu o aparecimento de novo grupo de pressão ao modelo existente, conhecido como Escolha Pública. (Ferraz, 2008)</w:t>
      </w:r>
    </w:p>
    <w:p w:rsidR="00AD57FB" w:rsidRPr="00FD62A0" w:rsidRDefault="00AD57FB" w:rsidP="00BF4427">
      <w:pPr>
        <w:spacing w:line="360" w:lineRule="auto"/>
        <w:ind w:firstLine="708"/>
        <w:jc w:val="both"/>
        <w:rPr>
          <w:rFonts w:ascii="Arial" w:hAnsi="Arial" w:cs="Arial"/>
          <w:sz w:val="22"/>
          <w:szCs w:val="22"/>
        </w:rPr>
      </w:pPr>
      <w:r w:rsidRPr="00FD62A0">
        <w:rPr>
          <w:rFonts w:ascii="Arial" w:hAnsi="Arial" w:cs="Arial"/>
          <w:sz w:val="22"/>
          <w:szCs w:val="22"/>
        </w:rPr>
        <w:lastRenderedPageBreak/>
        <w:t>Segundo Pitshens,</w:t>
      </w:r>
    </w:p>
    <w:p w:rsidR="00AD57FB" w:rsidRPr="00FD62A0" w:rsidRDefault="00AD57FB" w:rsidP="00FD6F8B">
      <w:pPr>
        <w:spacing w:line="360" w:lineRule="auto"/>
        <w:ind w:left="709"/>
        <w:jc w:val="both"/>
        <w:rPr>
          <w:rFonts w:ascii="Arial" w:hAnsi="Arial" w:cs="Arial"/>
          <w:sz w:val="20"/>
          <w:szCs w:val="20"/>
        </w:rPr>
      </w:pPr>
      <w:r w:rsidRPr="00FD62A0">
        <w:rPr>
          <w:rFonts w:ascii="Arial" w:hAnsi="Arial" w:cs="Arial"/>
          <w:sz w:val="20"/>
          <w:szCs w:val="20"/>
        </w:rPr>
        <w:t xml:space="preserve">As responsabilidades obsoletas do Estado e suas administrações </w:t>
      </w:r>
      <w:r w:rsidR="00FD6F8B" w:rsidRPr="00FD62A0">
        <w:rPr>
          <w:rFonts w:ascii="Arial" w:hAnsi="Arial" w:cs="Arial"/>
          <w:sz w:val="20"/>
          <w:szCs w:val="20"/>
        </w:rPr>
        <w:t>sufocam e</w:t>
      </w:r>
      <w:r w:rsidR="005F381F" w:rsidRPr="00FD62A0">
        <w:rPr>
          <w:rFonts w:ascii="Arial" w:hAnsi="Arial" w:cs="Arial"/>
          <w:sz w:val="20"/>
          <w:szCs w:val="20"/>
        </w:rPr>
        <w:t>conomicamente a autonomia dos cidadãos e o desenvolvimento de sua liberdade individual, mais</w:t>
      </w:r>
      <w:r w:rsidR="00FD6F8B" w:rsidRPr="00FD62A0">
        <w:rPr>
          <w:rFonts w:ascii="Arial" w:hAnsi="Arial" w:cs="Arial"/>
          <w:sz w:val="20"/>
          <w:szCs w:val="20"/>
        </w:rPr>
        <w:t xml:space="preserve"> do que assegurarem as suas nec</w:t>
      </w:r>
      <w:r w:rsidR="005F381F" w:rsidRPr="00FD62A0">
        <w:rPr>
          <w:rFonts w:ascii="Arial" w:hAnsi="Arial" w:cs="Arial"/>
          <w:sz w:val="20"/>
          <w:szCs w:val="20"/>
        </w:rPr>
        <w:t>essidades básicas. Também ser</w:t>
      </w:r>
      <w:r w:rsidR="00FD6F8B" w:rsidRPr="00FD62A0">
        <w:rPr>
          <w:rFonts w:ascii="Arial" w:hAnsi="Arial" w:cs="Arial"/>
          <w:sz w:val="20"/>
          <w:szCs w:val="20"/>
        </w:rPr>
        <w:t>á necessário red</w:t>
      </w:r>
      <w:r w:rsidR="005F381F" w:rsidRPr="00FD62A0">
        <w:rPr>
          <w:rFonts w:ascii="Arial" w:hAnsi="Arial" w:cs="Arial"/>
          <w:sz w:val="20"/>
          <w:szCs w:val="20"/>
        </w:rPr>
        <w:t xml:space="preserve">efinir a distinção entre as </w:t>
      </w:r>
      <w:r w:rsidR="00FD6F8B" w:rsidRPr="00FD62A0">
        <w:rPr>
          <w:rFonts w:ascii="Arial" w:hAnsi="Arial" w:cs="Arial"/>
          <w:sz w:val="20"/>
          <w:szCs w:val="20"/>
        </w:rPr>
        <w:t>atividades</w:t>
      </w:r>
      <w:r w:rsidR="005F381F" w:rsidRPr="00FD62A0">
        <w:rPr>
          <w:rFonts w:ascii="Arial" w:hAnsi="Arial" w:cs="Arial"/>
          <w:sz w:val="20"/>
          <w:szCs w:val="20"/>
        </w:rPr>
        <w:t xml:space="preserve"> complementares</w:t>
      </w:r>
      <w:r w:rsidR="00FD6F8B" w:rsidRPr="00FD62A0">
        <w:rPr>
          <w:rFonts w:ascii="Arial" w:hAnsi="Arial" w:cs="Arial"/>
          <w:sz w:val="20"/>
          <w:szCs w:val="20"/>
        </w:rPr>
        <w:t xml:space="preserve"> do setor estatal e do setor privado. O Estado moderno está, assim, sujeito a um vasto imperativo da mudança, sendo incontestável que deve operar uma modernização de fundo. (Pitschens, 2007)</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Nesse cenário, é que surge o espaço para a reforma administrativa, a partir da qual Robert e Janet Denhardt afirmam que o governo deverá passar a desempenhar três funções: estabelecer regras legais e políticas sob as quais estarão os atores sociais do Estado; administrar os problemas de distribuição de riquezas e de dependência dos atores entre si na sociedade e em relação a terceiros; e monitor</w:t>
      </w:r>
      <w:r w:rsidR="00D01877" w:rsidRPr="00FD62A0">
        <w:rPr>
          <w:rFonts w:ascii="Arial" w:hAnsi="Arial" w:cs="Arial"/>
          <w:sz w:val="22"/>
          <w:szCs w:val="22"/>
        </w:rPr>
        <w:t xml:space="preserve">ar a manutenção da democracia. </w:t>
      </w:r>
      <w:r w:rsidRPr="00FD62A0">
        <w:rPr>
          <w:rFonts w:ascii="Arial" w:hAnsi="Arial" w:cs="Arial"/>
          <w:sz w:val="22"/>
          <w:szCs w:val="22"/>
        </w:rPr>
        <w:t xml:space="preserve">No âmbito da reforma, duas vertentes se destacam entre as mais recentes: O </w:t>
      </w:r>
      <w:r w:rsidRPr="00FD62A0">
        <w:rPr>
          <w:rFonts w:ascii="Arial" w:hAnsi="Arial" w:cs="Arial"/>
          <w:i/>
          <w:sz w:val="22"/>
          <w:szCs w:val="22"/>
        </w:rPr>
        <w:t>New Public Management</w:t>
      </w:r>
      <w:r w:rsidRPr="00FD62A0">
        <w:rPr>
          <w:rFonts w:ascii="Arial" w:hAnsi="Arial" w:cs="Arial"/>
          <w:sz w:val="22"/>
          <w:szCs w:val="22"/>
        </w:rPr>
        <w:t xml:space="preserve"> e o </w:t>
      </w:r>
      <w:r w:rsidRPr="00FD62A0">
        <w:rPr>
          <w:rFonts w:ascii="Arial" w:hAnsi="Arial" w:cs="Arial"/>
          <w:i/>
          <w:sz w:val="22"/>
          <w:szCs w:val="22"/>
        </w:rPr>
        <w:t>New Public Service</w:t>
      </w:r>
      <w:r w:rsidRPr="00FD62A0">
        <w:rPr>
          <w:rFonts w:ascii="Arial" w:hAnsi="Arial" w:cs="Arial"/>
          <w:sz w:val="22"/>
          <w:szCs w:val="22"/>
        </w:rPr>
        <w:t xml:space="preserve">. </w:t>
      </w:r>
    </w:p>
    <w:p w:rsidR="00045437" w:rsidRPr="00FD62A0" w:rsidRDefault="00941674" w:rsidP="00941674">
      <w:pPr>
        <w:spacing w:line="360" w:lineRule="auto"/>
        <w:jc w:val="both"/>
        <w:rPr>
          <w:rFonts w:ascii="Arial" w:hAnsi="Arial" w:cs="Arial"/>
          <w:sz w:val="22"/>
          <w:szCs w:val="22"/>
        </w:rPr>
      </w:pPr>
      <w:r w:rsidRPr="00FD62A0">
        <w:rPr>
          <w:rFonts w:ascii="Arial" w:hAnsi="Arial" w:cs="Arial"/>
          <w:sz w:val="22"/>
          <w:szCs w:val="22"/>
        </w:rPr>
        <w:tab/>
      </w:r>
      <w:r w:rsidR="00D01877" w:rsidRPr="00FD62A0">
        <w:rPr>
          <w:rFonts w:ascii="Arial" w:hAnsi="Arial" w:cs="Arial"/>
          <w:sz w:val="22"/>
          <w:szCs w:val="22"/>
        </w:rPr>
        <w:t xml:space="preserve">O </w:t>
      </w:r>
      <w:r w:rsidR="00D01877" w:rsidRPr="00FD62A0">
        <w:rPr>
          <w:rFonts w:ascii="Arial" w:hAnsi="Arial" w:cs="Arial"/>
          <w:i/>
          <w:sz w:val="22"/>
          <w:szCs w:val="22"/>
        </w:rPr>
        <w:t xml:space="preserve">New Public </w:t>
      </w:r>
      <w:r w:rsidR="00C054D8" w:rsidRPr="00FD62A0">
        <w:rPr>
          <w:rFonts w:ascii="Arial" w:hAnsi="Arial" w:cs="Arial"/>
          <w:i/>
          <w:sz w:val="22"/>
          <w:szCs w:val="22"/>
        </w:rPr>
        <w:t>M</w:t>
      </w:r>
      <w:r w:rsidR="00D01877" w:rsidRPr="00FD62A0">
        <w:rPr>
          <w:rFonts w:ascii="Arial" w:hAnsi="Arial" w:cs="Arial"/>
          <w:i/>
          <w:sz w:val="22"/>
          <w:szCs w:val="22"/>
        </w:rPr>
        <w:t>anagement</w:t>
      </w:r>
      <w:r w:rsidR="00D01877" w:rsidRPr="00FD62A0">
        <w:rPr>
          <w:rFonts w:ascii="Arial" w:hAnsi="Arial" w:cs="Arial"/>
          <w:sz w:val="22"/>
          <w:szCs w:val="22"/>
        </w:rPr>
        <w:t xml:space="preserve"> é uma forma de administração pautada na forma administrativa do setor privado. Busca-se </w:t>
      </w:r>
      <w:r w:rsidR="00C15016" w:rsidRPr="00FD62A0">
        <w:rPr>
          <w:rFonts w:ascii="Arial" w:hAnsi="Arial" w:cs="Arial"/>
          <w:sz w:val="22"/>
          <w:szCs w:val="22"/>
        </w:rPr>
        <w:t>a</w:t>
      </w:r>
      <w:r w:rsidR="00C054D8" w:rsidRPr="00FD62A0">
        <w:rPr>
          <w:rFonts w:ascii="Arial" w:hAnsi="Arial" w:cs="Arial"/>
          <w:sz w:val="22"/>
          <w:szCs w:val="22"/>
        </w:rPr>
        <w:t xml:space="preserve">dotar </w:t>
      </w:r>
      <w:r w:rsidRPr="00FD62A0">
        <w:rPr>
          <w:rFonts w:ascii="Arial" w:hAnsi="Arial" w:cs="Arial"/>
          <w:sz w:val="22"/>
          <w:szCs w:val="22"/>
        </w:rPr>
        <w:t>os instrumentos de gestão</w:t>
      </w:r>
      <w:r w:rsidR="00C054D8" w:rsidRPr="00FD62A0">
        <w:rPr>
          <w:rFonts w:ascii="Arial" w:hAnsi="Arial" w:cs="Arial"/>
          <w:sz w:val="22"/>
          <w:szCs w:val="22"/>
        </w:rPr>
        <w:t xml:space="preserve"> eficientes da Administração privada e instituí-las no setor público.</w:t>
      </w:r>
      <w:r w:rsidR="00455483">
        <w:rPr>
          <w:rFonts w:ascii="Arial" w:hAnsi="Arial" w:cs="Arial"/>
          <w:sz w:val="22"/>
          <w:szCs w:val="22"/>
        </w:rPr>
        <w:t xml:space="preserve"> </w:t>
      </w:r>
      <w:r w:rsidRPr="00FD62A0">
        <w:rPr>
          <w:rFonts w:ascii="Arial" w:hAnsi="Arial" w:cs="Arial"/>
          <w:sz w:val="22"/>
          <w:szCs w:val="22"/>
        </w:rPr>
        <w:t>De maneira mais simplista, o</w:t>
      </w:r>
      <w:r w:rsidR="00501F5A" w:rsidRPr="00FD62A0">
        <w:rPr>
          <w:rFonts w:ascii="Arial" w:hAnsi="Arial" w:cs="Arial"/>
          <w:sz w:val="22"/>
          <w:szCs w:val="22"/>
        </w:rPr>
        <w:t xml:space="preserve"> </w:t>
      </w:r>
      <w:r w:rsidR="00501F5A" w:rsidRPr="00FD62A0">
        <w:rPr>
          <w:rFonts w:ascii="Arial" w:hAnsi="Arial" w:cs="Arial"/>
          <w:i/>
          <w:sz w:val="22"/>
          <w:szCs w:val="22"/>
        </w:rPr>
        <w:t>New Public Management</w:t>
      </w:r>
      <w:r w:rsidR="00501F5A" w:rsidRPr="00FD62A0">
        <w:rPr>
          <w:rFonts w:ascii="Arial" w:hAnsi="Arial" w:cs="Arial"/>
          <w:sz w:val="22"/>
          <w:szCs w:val="22"/>
        </w:rPr>
        <w:t xml:space="preserve"> </w:t>
      </w:r>
      <w:r w:rsidR="001121B3" w:rsidRPr="00FD62A0">
        <w:rPr>
          <w:rFonts w:ascii="Arial" w:hAnsi="Arial" w:cs="Arial"/>
          <w:sz w:val="22"/>
          <w:szCs w:val="22"/>
        </w:rPr>
        <w:t xml:space="preserve">busca soluções de mercado para combater a ineficiência estatal. Esta vertente, faz uma analogia </w:t>
      </w:r>
      <w:r w:rsidR="00501F5A" w:rsidRPr="00FD62A0">
        <w:rPr>
          <w:rFonts w:ascii="Arial" w:hAnsi="Arial" w:cs="Arial"/>
          <w:sz w:val="22"/>
          <w:szCs w:val="22"/>
        </w:rPr>
        <w:t>a</w:t>
      </w:r>
      <w:r w:rsidR="001121B3" w:rsidRPr="00FD62A0">
        <w:rPr>
          <w:rFonts w:ascii="Arial" w:hAnsi="Arial" w:cs="Arial"/>
          <w:sz w:val="22"/>
          <w:szCs w:val="22"/>
        </w:rPr>
        <w:t xml:space="preserve">onde o Estado é comparado a uma empresa privada. </w:t>
      </w:r>
    </w:p>
    <w:p w:rsidR="00D824CB" w:rsidRPr="00FD62A0" w:rsidRDefault="00045437" w:rsidP="00941674">
      <w:pPr>
        <w:spacing w:line="360" w:lineRule="auto"/>
        <w:jc w:val="both"/>
        <w:rPr>
          <w:rFonts w:ascii="Arial" w:hAnsi="Arial" w:cs="Arial"/>
          <w:sz w:val="22"/>
          <w:szCs w:val="22"/>
        </w:rPr>
      </w:pPr>
      <w:r w:rsidRPr="00FD62A0">
        <w:rPr>
          <w:rFonts w:ascii="Arial" w:hAnsi="Arial" w:cs="Arial"/>
          <w:sz w:val="22"/>
          <w:szCs w:val="22"/>
        </w:rPr>
        <w:tab/>
      </w:r>
      <w:r w:rsidR="001121B3" w:rsidRPr="00FD62A0">
        <w:rPr>
          <w:rFonts w:ascii="Arial" w:hAnsi="Arial" w:cs="Arial"/>
          <w:sz w:val="22"/>
          <w:szCs w:val="22"/>
        </w:rPr>
        <w:t xml:space="preserve">Assim, é proposto que se administre o Estado como se este fosse um negócio, utilizando técnicas e valores do setor privado, a fim de obter eficiência e produtividade semelhantes ao que é encontrado nas empresas. O cidadão, por este ângulo, seria visto como o cliente, em função do qual deve-se tomar medidas para </w:t>
      </w:r>
      <w:r w:rsidR="00501F5A" w:rsidRPr="00FD62A0">
        <w:rPr>
          <w:rFonts w:ascii="Arial" w:hAnsi="Arial" w:cs="Arial"/>
          <w:sz w:val="22"/>
          <w:szCs w:val="22"/>
        </w:rPr>
        <w:t xml:space="preserve">melhor </w:t>
      </w:r>
      <w:r w:rsidR="001121B3" w:rsidRPr="00FD62A0">
        <w:rPr>
          <w:rFonts w:ascii="Arial" w:hAnsi="Arial" w:cs="Arial"/>
          <w:sz w:val="22"/>
          <w:szCs w:val="22"/>
        </w:rPr>
        <w:t xml:space="preserve">atendê-lo. </w:t>
      </w:r>
      <w:r w:rsidR="00B95DDF" w:rsidRPr="00FD62A0">
        <w:rPr>
          <w:rFonts w:ascii="Arial" w:hAnsi="Arial" w:cs="Arial"/>
          <w:sz w:val="22"/>
          <w:szCs w:val="22"/>
        </w:rPr>
        <w:t xml:space="preserve">Este modelo de reforma preconiza que o gestor público deve ter a autonomia e os meios </w:t>
      </w:r>
      <w:r w:rsidRPr="00FD62A0">
        <w:rPr>
          <w:rFonts w:ascii="Arial" w:hAnsi="Arial" w:cs="Arial"/>
          <w:sz w:val="22"/>
          <w:szCs w:val="22"/>
        </w:rPr>
        <w:t>necessário</w:t>
      </w:r>
      <w:r w:rsidR="00455483">
        <w:rPr>
          <w:rFonts w:ascii="Arial" w:hAnsi="Arial" w:cs="Arial"/>
          <w:sz w:val="22"/>
          <w:szCs w:val="22"/>
        </w:rPr>
        <w:t>s</w:t>
      </w:r>
      <w:r w:rsidRPr="00FD62A0">
        <w:rPr>
          <w:rFonts w:ascii="Arial" w:hAnsi="Arial" w:cs="Arial"/>
          <w:sz w:val="22"/>
          <w:szCs w:val="22"/>
        </w:rPr>
        <w:t xml:space="preserve"> para a execução de suas tarefas. A partir de então, o gestor passa a ser responsável pelos resultados obtidos.</w:t>
      </w:r>
      <w:r w:rsidR="0071199F" w:rsidRPr="00FD62A0">
        <w:rPr>
          <w:rFonts w:ascii="Arial" w:hAnsi="Arial" w:cs="Arial"/>
          <w:sz w:val="22"/>
          <w:szCs w:val="22"/>
        </w:rPr>
        <w:t xml:space="preserve"> </w:t>
      </w:r>
    </w:p>
    <w:p w:rsidR="00501F5A" w:rsidRPr="00FD62A0" w:rsidRDefault="00D824CB" w:rsidP="00941674">
      <w:pPr>
        <w:spacing w:line="360" w:lineRule="auto"/>
        <w:jc w:val="both"/>
        <w:rPr>
          <w:rFonts w:ascii="Arial" w:hAnsi="Arial" w:cs="Arial"/>
          <w:sz w:val="22"/>
          <w:szCs w:val="22"/>
        </w:rPr>
      </w:pPr>
      <w:r w:rsidRPr="00FD62A0">
        <w:rPr>
          <w:rFonts w:ascii="Arial" w:hAnsi="Arial" w:cs="Arial"/>
          <w:sz w:val="22"/>
          <w:szCs w:val="22"/>
        </w:rPr>
        <w:tab/>
      </w:r>
      <w:r w:rsidR="00CF5CEE" w:rsidRPr="00FD62A0">
        <w:rPr>
          <w:rFonts w:ascii="Arial" w:hAnsi="Arial" w:cs="Arial"/>
          <w:sz w:val="22"/>
          <w:szCs w:val="22"/>
        </w:rPr>
        <w:t>Para que se estabeleça</w:t>
      </w:r>
      <w:r w:rsidR="00875C40" w:rsidRPr="00FD62A0">
        <w:rPr>
          <w:rFonts w:ascii="Arial" w:hAnsi="Arial" w:cs="Arial"/>
          <w:sz w:val="22"/>
          <w:szCs w:val="22"/>
        </w:rPr>
        <w:t xml:space="preserve"> a</w:t>
      </w:r>
      <w:r w:rsidR="00CF5CEE" w:rsidRPr="00FD62A0">
        <w:rPr>
          <w:rFonts w:ascii="Arial" w:hAnsi="Arial" w:cs="Arial"/>
          <w:sz w:val="22"/>
          <w:szCs w:val="22"/>
        </w:rPr>
        <w:t xml:space="preserve"> reforma do </w:t>
      </w:r>
      <w:r w:rsidR="00CF5CEE" w:rsidRPr="00FD62A0">
        <w:rPr>
          <w:rFonts w:ascii="Arial" w:hAnsi="Arial" w:cs="Arial"/>
          <w:i/>
          <w:sz w:val="22"/>
          <w:szCs w:val="22"/>
        </w:rPr>
        <w:t xml:space="preserve">New Public Management, </w:t>
      </w:r>
      <w:r w:rsidR="00875C40" w:rsidRPr="00FD62A0">
        <w:rPr>
          <w:rFonts w:ascii="Arial" w:hAnsi="Arial" w:cs="Arial"/>
          <w:sz w:val="22"/>
          <w:szCs w:val="22"/>
        </w:rPr>
        <w:t>é</w:t>
      </w:r>
      <w:r w:rsidR="0071199F" w:rsidRPr="00FD62A0">
        <w:rPr>
          <w:rFonts w:ascii="Arial" w:hAnsi="Arial" w:cs="Arial"/>
          <w:sz w:val="22"/>
          <w:szCs w:val="22"/>
        </w:rPr>
        <w:t xml:space="preserve"> necessário </w:t>
      </w:r>
      <w:r w:rsidR="007C22B2" w:rsidRPr="00FD62A0">
        <w:rPr>
          <w:rFonts w:ascii="Arial" w:hAnsi="Arial" w:cs="Arial"/>
          <w:sz w:val="22"/>
          <w:szCs w:val="22"/>
        </w:rPr>
        <w:t>que haja</w:t>
      </w:r>
      <w:r w:rsidR="00A61D3D" w:rsidRPr="00FD62A0">
        <w:rPr>
          <w:rFonts w:ascii="Arial" w:hAnsi="Arial" w:cs="Arial"/>
          <w:sz w:val="22"/>
          <w:szCs w:val="22"/>
        </w:rPr>
        <w:t xml:space="preserve"> significativas mudanças na forma de relacionamento entre o setor público, governo e sociedade.</w:t>
      </w:r>
      <w:r w:rsidRPr="00FD62A0">
        <w:rPr>
          <w:rFonts w:ascii="Arial" w:hAnsi="Arial" w:cs="Arial"/>
          <w:sz w:val="22"/>
          <w:szCs w:val="22"/>
        </w:rPr>
        <w:t xml:space="preserve"> Tais mudanças ocorreram em três </w:t>
      </w:r>
      <w:r w:rsidR="00BB6CA7" w:rsidRPr="00FD62A0">
        <w:rPr>
          <w:rFonts w:ascii="Arial" w:hAnsi="Arial" w:cs="Arial"/>
          <w:sz w:val="22"/>
          <w:szCs w:val="22"/>
        </w:rPr>
        <w:t>níveis: o relacionamento entre políticos e gestores públicos; os instrumentos e o poder transferidos para os gestores desempenharem suas tarefas; e a relação entre funcionários e clientes.</w:t>
      </w:r>
      <w:r w:rsidR="008D14A1" w:rsidRPr="00FD62A0">
        <w:rPr>
          <w:rFonts w:ascii="Arial" w:hAnsi="Arial" w:cs="Arial"/>
          <w:sz w:val="22"/>
          <w:szCs w:val="22"/>
        </w:rPr>
        <w:t xml:space="preserve"> De acordo com Araújo, o </w:t>
      </w:r>
      <w:r w:rsidR="008D14A1" w:rsidRPr="00FD62A0">
        <w:rPr>
          <w:rFonts w:ascii="Arial" w:hAnsi="Arial" w:cs="Arial"/>
          <w:i/>
          <w:sz w:val="22"/>
          <w:szCs w:val="22"/>
        </w:rPr>
        <w:t>New Public Management</w:t>
      </w:r>
      <w:r w:rsidR="008D14A1" w:rsidRPr="00FD62A0">
        <w:rPr>
          <w:rFonts w:ascii="Arial" w:hAnsi="Arial" w:cs="Arial"/>
          <w:sz w:val="22"/>
          <w:szCs w:val="22"/>
        </w:rPr>
        <w:t xml:space="preserve"> foca principalmente no segundo n</w:t>
      </w:r>
      <w:r w:rsidR="00B169BF" w:rsidRPr="00FD62A0">
        <w:rPr>
          <w:rFonts w:ascii="Arial" w:hAnsi="Arial" w:cs="Arial"/>
          <w:sz w:val="22"/>
          <w:szCs w:val="22"/>
        </w:rPr>
        <w:t>ível, sendo este interrelacionado com os demais.</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A proposta deste modelo é garantir ao cidadão maior eficiência dos serviços oferecidos sem que isto custe mais ao Estado, ou seja, deve-se buscar otimizar os resultados aumentando a produtividade e a eficiência, assim como reduzindo os custos. Para a obtenção de tais resultados, o Estado deve implementar mecanismos que permitam </w:t>
      </w:r>
      <w:r w:rsidRPr="00FD62A0">
        <w:rPr>
          <w:rFonts w:ascii="Arial" w:hAnsi="Arial" w:cs="Arial"/>
          <w:sz w:val="22"/>
          <w:szCs w:val="22"/>
        </w:rPr>
        <w:lastRenderedPageBreak/>
        <w:t>medir o grau de eficiência das medidas tomadas, assim como permita melhorar o planejamento estratégico. Além destas medidas, o Estado pode contar ainda com o recurso da privatização. (Denhardt &amp; Denhardt, 200</w:t>
      </w:r>
      <w:r w:rsidR="009A764C" w:rsidRPr="00FD62A0">
        <w:rPr>
          <w:rFonts w:ascii="Arial" w:hAnsi="Arial" w:cs="Arial"/>
          <w:sz w:val="22"/>
          <w:szCs w:val="22"/>
        </w:rPr>
        <w:t>2</w:t>
      </w:r>
      <w:r w:rsidRPr="00FD62A0">
        <w:rPr>
          <w:rFonts w:ascii="Arial" w:hAnsi="Arial" w:cs="Arial"/>
          <w:sz w:val="22"/>
          <w:szCs w:val="22"/>
        </w:rPr>
        <w:t xml:space="preserve">) </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Jones e Thompson destacam características empresariais que são propostas neste modelo de Administração Pública, como o cidadão ser visto como cliente, a delegação de autoridades, a elaboração de orçamentos baseados em resultados, entre outras. Os autores </w:t>
      </w:r>
      <w:r w:rsidR="00455483">
        <w:rPr>
          <w:rFonts w:ascii="Arial" w:hAnsi="Arial" w:cs="Arial"/>
          <w:sz w:val="22"/>
          <w:szCs w:val="22"/>
        </w:rPr>
        <w:t>apontam</w:t>
      </w:r>
      <w:r w:rsidRPr="00FD62A0">
        <w:rPr>
          <w:rFonts w:ascii="Arial" w:hAnsi="Arial" w:cs="Arial"/>
          <w:sz w:val="22"/>
          <w:szCs w:val="22"/>
        </w:rPr>
        <w:t xml:space="preserve"> ainda como princípios do modelo </w:t>
      </w:r>
      <w:r w:rsidRPr="00FD62A0">
        <w:rPr>
          <w:rFonts w:ascii="Arial" w:hAnsi="Arial" w:cs="Arial"/>
          <w:i/>
          <w:sz w:val="22"/>
          <w:szCs w:val="22"/>
        </w:rPr>
        <w:t>New Public Management</w:t>
      </w:r>
      <w:r w:rsidRPr="00FD62A0">
        <w:rPr>
          <w:rFonts w:ascii="Arial" w:hAnsi="Arial" w:cs="Arial"/>
          <w:sz w:val="22"/>
          <w:szCs w:val="22"/>
        </w:rPr>
        <w:t xml:space="preserve"> a reestruturação, a reengenharia, a reinvenção, o realinhamento e a reconceituação. (Jones e Thompson, 2000)</w:t>
      </w:r>
    </w:p>
    <w:p w:rsidR="00703998" w:rsidRPr="00FD62A0" w:rsidRDefault="00B7203B" w:rsidP="00BF4427">
      <w:pPr>
        <w:spacing w:line="360" w:lineRule="auto"/>
        <w:jc w:val="both"/>
        <w:rPr>
          <w:rFonts w:ascii="Arial" w:hAnsi="Arial" w:cs="Arial"/>
          <w:sz w:val="22"/>
          <w:szCs w:val="22"/>
        </w:rPr>
      </w:pPr>
      <w:r w:rsidRPr="00FD62A0">
        <w:rPr>
          <w:rFonts w:ascii="Arial" w:hAnsi="Arial" w:cs="Arial"/>
          <w:sz w:val="22"/>
          <w:szCs w:val="22"/>
        </w:rPr>
        <w:tab/>
      </w:r>
      <w:r w:rsidR="0036181D" w:rsidRPr="00FD62A0">
        <w:rPr>
          <w:rFonts w:ascii="Arial" w:hAnsi="Arial" w:cs="Arial"/>
          <w:sz w:val="22"/>
          <w:szCs w:val="22"/>
        </w:rPr>
        <w:t xml:space="preserve">Hudgens destaca como características do New Public Management </w:t>
      </w:r>
      <w:r w:rsidR="00703998" w:rsidRPr="00FD62A0">
        <w:rPr>
          <w:rFonts w:ascii="Arial" w:hAnsi="Arial" w:cs="Arial"/>
          <w:sz w:val="22"/>
          <w:szCs w:val="22"/>
        </w:rPr>
        <w:t>:</w:t>
      </w:r>
    </w:p>
    <w:p w:rsidR="00703998" w:rsidRPr="00FD62A0" w:rsidRDefault="00703998" w:rsidP="00703998">
      <w:pPr>
        <w:spacing w:line="360" w:lineRule="auto"/>
        <w:ind w:left="709"/>
        <w:jc w:val="both"/>
        <w:rPr>
          <w:rFonts w:ascii="Arial" w:hAnsi="Arial" w:cs="Arial"/>
          <w:sz w:val="20"/>
          <w:szCs w:val="20"/>
        </w:rPr>
      </w:pPr>
      <w:r w:rsidRPr="00FD62A0">
        <w:rPr>
          <w:rFonts w:ascii="Arial" w:hAnsi="Arial" w:cs="Arial"/>
          <w:sz w:val="20"/>
          <w:szCs w:val="20"/>
        </w:rPr>
        <w:t xml:space="preserve">Grande </w:t>
      </w:r>
      <w:r w:rsidR="00E07E99" w:rsidRPr="00FD62A0">
        <w:rPr>
          <w:rFonts w:ascii="Arial" w:hAnsi="Arial" w:cs="Arial"/>
          <w:sz w:val="20"/>
          <w:szCs w:val="20"/>
        </w:rPr>
        <w:t xml:space="preserve">preocupação com resultados e a responsabilização dos gestores; </w:t>
      </w:r>
      <w:r w:rsidRPr="00FD62A0">
        <w:rPr>
          <w:rFonts w:ascii="Arial" w:hAnsi="Arial" w:cs="Arial"/>
          <w:sz w:val="20"/>
          <w:szCs w:val="20"/>
        </w:rPr>
        <w:t>O</w:t>
      </w:r>
      <w:r w:rsidR="00E07E99" w:rsidRPr="00FD62A0">
        <w:rPr>
          <w:rFonts w:ascii="Arial" w:hAnsi="Arial" w:cs="Arial"/>
          <w:sz w:val="20"/>
          <w:szCs w:val="20"/>
        </w:rPr>
        <w:t xml:space="preserve">rganização e gestão flexível de pessoal; </w:t>
      </w:r>
    </w:p>
    <w:p w:rsidR="00703998" w:rsidRPr="00FD62A0" w:rsidRDefault="00B7203B" w:rsidP="00703998">
      <w:pPr>
        <w:spacing w:line="360" w:lineRule="auto"/>
        <w:ind w:left="709"/>
        <w:jc w:val="both"/>
        <w:rPr>
          <w:rFonts w:ascii="Arial" w:hAnsi="Arial" w:cs="Arial"/>
          <w:sz w:val="20"/>
          <w:szCs w:val="20"/>
        </w:rPr>
      </w:pPr>
      <w:r w:rsidRPr="00FD62A0">
        <w:rPr>
          <w:rFonts w:ascii="Arial" w:hAnsi="Arial" w:cs="Arial"/>
          <w:sz w:val="20"/>
          <w:szCs w:val="20"/>
        </w:rPr>
        <w:t xml:space="preserve">Objetivos pessoais e organizacionais claramente definidos e </w:t>
      </w:r>
      <w:r w:rsidR="00D044A6" w:rsidRPr="00FD62A0">
        <w:rPr>
          <w:rFonts w:ascii="Arial" w:hAnsi="Arial" w:cs="Arial"/>
          <w:sz w:val="20"/>
          <w:szCs w:val="20"/>
        </w:rPr>
        <w:t>desenvolvimen</w:t>
      </w:r>
      <w:r w:rsidR="00703998" w:rsidRPr="00FD62A0">
        <w:rPr>
          <w:rFonts w:ascii="Arial" w:hAnsi="Arial" w:cs="Arial"/>
          <w:sz w:val="20"/>
          <w:szCs w:val="20"/>
        </w:rPr>
        <w:t xml:space="preserve">to de indicadores de desempenho; </w:t>
      </w:r>
      <w:r w:rsidR="00D044A6" w:rsidRPr="00FD62A0">
        <w:rPr>
          <w:rFonts w:ascii="Arial" w:hAnsi="Arial" w:cs="Arial"/>
          <w:sz w:val="20"/>
          <w:szCs w:val="20"/>
        </w:rPr>
        <w:t>e</w:t>
      </w:r>
    </w:p>
    <w:p w:rsidR="00B92BB5" w:rsidRPr="00FD62A0" w:rsidRDefault="00A44179" w:rsidP="00703998">
      <w:pPr>
        <w:spacing w:line="360" w:lineRule="auto"/>
        <w:ind w:left="709"/>
        <w:jc w:val="both"/>
        <w:rPr>
          <w:rFonts w:ascii="Arial" w:hAnsi="Arial" w:cs="Arial"/>
          <w:sz w:val="20"/>
          <w:szCs w:val="20"/>
        </w:rPr>
      </w:pPr>
      <w:r w:rsidRPr="00FD62A0">
        <w:rPr>
          <w:rFonts w:ascii="Arial" w:hAnsi="Arial" w:cs="Arial"/>
          <w:sz w:val="20"/>
          <w:szCs w:val="20"/>
        </w:rPr>
        <w:t>A</w:t>
      </w:r>
      <w:r w:rsidR="00D044A6" w:rsidRPr="00FD62A0">
        <w:rPr>
          <w:rFonts w:ascii="Arial" w:hAnsi="Arial" w:cs="Arial"/>
          <w:sz w:val="20"/>
          <w:szCs w:val="20"/>
        </w:rPr>
        <w:t xml:space="preserve"> tendência</w:t>
      </w:r>
      <w:r w:rsidR="00D044A6" w:rsidRPr="00FD62A0">
        <w:rPr>
          <w:rFonts w:ascii="Arial" w:hAnsi="Arial" w:cs="Arial"/>
          <w:b/>
          <w:sz w:val="20"/>
          <w:szCs w:val="20"/>
        </w:rPr>
        <w:t xml:space="preserve"> </w:t>
      </w:r>
      <w:r w:rsidR="00D044A6" w:rsidRPr="00FD62A0">
        <w:rPr>
          <w:rFonts w:ascii="Arial" w:hAnsi="Arial" w:cs="Arial"/>
          <w:sz w:val="20"/>
          <w:szCs w:val="20"/>
        </w:rPr>
        <w:t>para reduzir a atividade do governo através das privatizações</w:t>
      </w:r>
    </w:p>
    <w:p w:rsidR="00D044A6" w:rsidRPr="00FD62A0" w:rsidRDefault="00712645" w:rsidP="00BF4427">
      <w:pPr>
        <w:spacing w:line="360" w:lineRule="auto"/>
        <w:jc w:val="both"/>
        <w:rPr>
          <w:rFonts w:ascii="Arial" w:hAnsi="Arial" w:cs="Arial"/>
          <w:sz w:val="20"/>
          <w:szCs w:val="20"/>
        </w:rPr>
      </w:pPr>
      <w:r w:rsidRPr="00FD62A0">
        <w:rPr>
          <w:rFonts w:ascii="Arial" w:hAnsi="Arial" w:cs="Arial"/>
          <w:sz w:val="20"/>
          <w:szCs w:val="20"/>
        </w:rPr>
        <w:tab/>
        <w:t>(Araújo, 2000)</w:t>
      </w:r>
    </w:p>
    <w:p w:rsidR="00D044A6" w:rsidRPr="00FD62A0" w:rsidRDefault="00894C70" w:rsidP="00BF4427">
      <w:pPr>
        <w:spacing w:line="360" w:lineRule="auto"/>
        <w:jc w:val="both"/>
        <w:rPr>
          <w:rFonts w:ascii="Arial" w:hAnsi="Arial" w:cs="Arial"/>
          <w:sz w:val="22"/>
          <w:szCs w:val="22"/>
        </w:rPr>
      </w:pPr>
      <w:r w:rsidRPr="00FD62A0">
        <w:rPr>
          <w:rFonts w:ascii="Arial" w:hAnsi="Arial" w:cs="Arial"/>
          <w:sz w:val="22"/>
          <w:szCs w:val="22"/>
        </w:rPr>
        <w:tab/>
        <w:t>Pitschas</w:t>
      </w:r>
      <w:r w:rsidR="0014339D" w:rsidRPr="00FD62A0">
        <w:rPr>
          <w:rFonts w:ascii="Arial" w:hAnsi="Arial" w:cs="Arial"/>
          <w:sz w:val="22"/>
          <w:szCs w:val="22"/>
        </w:rPr>
        <w:t xml:space="preserve"> reforça a necessidade de enxugar a máquina pública. De acordo com o autor, as autoridades devem ter ciência </w:t>
      </w:r>
      <w:r w:rsidR="00B14CC7" w:rsidRPr="00FD62A0">
        <w:rPr>
          <w:rFonts w:ascii="Arial" w:hAnsi="Arial" w:cs="Arial"/>
          <w:sz w:val="22"/>
          <w:szCs w:val="22"/>
        </w:rPr>
        <w:t>de quais tarefas são indispensáveis que sejam executadas pelo setor público e quais podem ser delegadas</w:t>
      </w:r>
      <w:r w:rsidR="00EF57BF" w:rsidRPr="00FD62A0">
        <w:rPr>
          <w:rFonts w:ascii="Arial" w:hAnsi="Arial" w:cs="Arial"/>
          <w:sz w:val="22"/>
          <w:szCs w:val="22"/>
        </w:rPr>
        <w:t xml:space="preserve"> à instituições privadas ou à indivíduos. Além disso, o autor ressalta o desenvolvimento institucional e a descentralização. </w:t>
      </w:r>
      <w:r w:rsidR="00FC5DC7" w:rsidRPr="00FD62A0">
        <w:rPr>
          <w:rFonts w:ascii="Arial" w:hAnsi="Arial" w:cs="Arial"/>
          <w:sz w:val="22"/>
          <w:szCs w:val="22"/>
        </w:rPr>
        <w:t>N</w:t>
      </w:r>
      <w:r w:rsidR="00E42421" w:rsidRPr="00FD62A0">
        <w:rPr>
          <w:rFonts w:ascii="Arial" w:hAnsi="Arial" w:cs="Arial"/>
          <w:sz w:val="22"/>
          <w:szCs w:val="22"/>
        </w:rPr>
        <w:t xml:space="preserve">ão </w:t>
      </w:r>
      <w:r w:rsidR="00693BFD" w:rsidRPr="00FD62A0">
        <w:rPr>
          <w:rFonts w:ascii="Arial" w:hAnsi="Arial" w:cs="Arial"/>
          <w:sz w:val="22"/>
          <w:szCs w:val="22"/>
        </w:rPr>
        <w:t>se deve</w:t>
      </w:r>
      <w:r w:rsidR="00E42421" w:rsidRPr="00FD62A0">
        <w:rPr>
          <w:rFonts w:ascii="Arial" w:hAnsi="Arial" w:cs="Arial"/>
          <w:sz w:val="22"/>
          <w:szCs w:val="22"/>
        </w:rPr>
        <w:t xml:space="preserve"> menosprezar o</w:t>
      </w:r>
      <w:r w:rsidR="00FC5DC7" w:rsidRPr="00FD62A0">
        <w:rPr>
          <w:rFonts w:ascii="Arial" w:hAnsi="Arial" w:cs="Arial"/>
          <w:sz w:val="22"/>
          <w:szCs w:val="22"/>
        </w:rPr>
        <w:t xml:space="preserve"> fato de a Administração ser formada por instituições principais e secundárias</w:t>
      </w:r>
      <w:r w:rsidR="00E42421" w:rsidRPr="00FD62A0">
        <w:rPr>
          <w:rFonts w:ascii="Arial" w:hAnsi="Arial" w:cs="Arial"/>
          <w:sz w:val="22"/>
          <w:szCs w:val="22"/>
        </w:rPr>
        <w:t>.</w:t>
      </w:r>
      <w:r w:rsidR="00FC5DC7" w:rsidRPr="00FD62A0">
        <w:rPr>
          <w:rFonts w:ascii="Arial" w:hAnsi="Arial" w:cs="Arial"/>
          <w:sz w:val="22"/>
          <w:szCs w:val="22"/>
        </w:rPr>
        <w:t xml:space="preserve"> </w:t>
      </w:r>
      <w:r w:rsidR="00E42421" w:rsidRPr="00FD62A0">
        <w:rPr>
          <w:rFonts w:ascii="Arial" w:hAnsi="Arial" w:cs="Arial"/>
          <w:sz w:val="22"/>
          <w:szCs w:val="22"/>
        </w:rPr>
        <w:t>A</w:t>
      </w:r>
      <w:r w:rsidR="00FC5DC7" w:rsidRPr="00FD62A0">
        <w:rPr>
          <w:rFonts w:ascii="Arial" w:hAnsi="Arial" w:cs="Arial"/>
          <w:sz w:val="22"/>
          <w:szCs w:val="22"/>
        </w:rPr>
        <w:t xml:space="preserve">o contrário, </w:t>
      </w:r>
      <w:r w:rsidR="00A04018" w:rsidRPr="00FD62A0">
        <w:rPr>
          <w:rFonts w:ascii="Arial" w:hAnsi="Arial" w:cs="Arial"/>
          <w:sz w:val="22"/>
          <w:szCs w:val="22"/>
        </w:rPr>
        <w:t xml:space="preserve">as instituições secundárias são </w:t>
      </w:r>
      <w:r w:rsidR="00693BFD">
        <w:rPr>
          <w:rFonts w:ascii="Arial" w:hAnsi="Arial" w:cs="Arial"/>
          <w:sz w:val="22"/>
          <w:szCs w:val="22"/>
        </w:rPr>
        <w:t xml:space="preserve">mais bem </w:t>
      </w:r>
      <w:r w:rsidR="00A04018" w:rsidRPr="00FD62A0">
        <w:rPr>
          <w:rFonts w:ascii="Arial" w:hAnsi="Arial" w:cs="Arial"/>
          <w:sz w:val="22"/>
          <w:szCs w:val="22"/>
        </w:rPr>
        <w:t xml:space="preserve"> aceitas na </w:t>
      </w:r>
      <w:r w:rsidR="00A34834" w:rsidRPr="00FD62A0">
        <w:rPr>
          <w:rFonts w:ascii="Arial" w:hAnsi="Arial" w:cs="Arial"/>
          <w:sz w:val="22"/>
          <w:szCs w:val="22"/>
        </w:rPr>
        <w:t>execução de determinadas tarefas públicas, em detrimento das principais, mais próximas da gestão</w:t>
      </w:r>
      <w:r w:rsidR="00363293" w:rsidRPr="00FD62A0">
        <w:rPr>
          <w:rFonts w:ascii="Arial" w:hAnsi="Arial" w:cs="Arial"/>
          <w:sz w:val="22"/>
          <w:szCs w:val="22"/>
        </w:rPr>
        <w:t xml:space="preserve"> burocrática</w:t>
      </w:r>
      <w:r w:rsidR="00750239" w:rsidRPr="00FD62A0">
        <w:rPr>
          <w:rFonts w:ascii="Arial" w:hAnsi="Arial" w:cs="Arial"/>
          <w:sz w:val="22"/>
          <w:szCs w:val="22"/>
        </w:rPr>
        <w:t>.</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O </w:t>
      </w:r>
      <w:r w:rsidRPr="00FD62A0">
        <w:rPr>
          <w:rFonts w:ascii="Arial" w:hAnsi="Arial" w:cs="Arial"/>
          <w:i/>
          <w:sz w:val="22"/>
          <w:szCs w:val="22"/>
        </w:rPr>
        <w:t>New Public Se</w:t>
      </w:r>
      <w:r w:rsidR="00AA333C" w:rsidRPr="00FD62A0">
        <w:rPr>
          <w:rFonts w:ascii="Arial" w:hAnsi="Arial" w:cs="Arial"/>
          <w:i/>
          <w:sz w:val="22"/>
          <w:szCs w:val="22"/>
        </w:rPr>
        <w:t>rvice</w:t>
      </w:r>
      <w:r w:rsidRPr="00FD62A0">
        <w:rPr>
          <w:rFonts w:ascii="Arial" w:hAnsi="Arial" w:cs="Arial"/>
          <w:sz w:val="22"/>
          <w:szCs w:val="22"/>
        </w:rPr>
        <w:t xml:space="preserve"> considera a importância do interesse público, destacando que deve ser buscada uma forma de responder </w:t>
      </w:r>
      <w:r w:rsidR="00287ADC" w:rsidRPr="00FD62A0">
        <w:rPr>
          <w:rFonts w:ascii="Arial" w:hAnsi="Arial" w:cs="Arial"/>
          <w:sz w:val="22"/>
          <w:szCs w:val="22"/>
        </w:rPr>
        <w:t>a</w:t>
      </w:r>
      <w:r w:rsidRPr="00FD62A0">
        <w:rPr>
          <w:rFonts w:ascii="Arial" w:hAnsi="Arial" w:cs="Arial"/>
          <w:sz w:val="22"/>
          <w:szCs w:val="22"/>
        </w:rPr>
        <w:t xml:space="preserve">os anseios da sociedade. O </w:t>
      </w:r>
      <w:r w:rsidR="00287ADC" w:rsidRPr="00FD62A0">
        <w:rPr>
          <w:rFonts w:ascii="Arial" w:hAnsi="Arial" w:cs="Arial"/>
          <w:sz w:val="22"/>
          <w:szCs w:val="22"/>
        </w:rPr>
        <w:t>en</w:t>
      </w:r>
      <w:r w:rsidRPr="00FD62A0">
        <w:rPr>
          <w:rFonts w:ascii="Arial" w:hAnsi="Arial" w:cs="Arial"/>
          <w:sz w:val="22"/>
          <w:szCs w:val="22"/>
        </w:rPr>
        <w:t>fo</w:t>
      </w:r>
      <w:r w:rsidR="00287ADC" w:rsidRPr="00FD62A0">
        <w:rPr>
          <w:rFonts w:ascii="Arial" w:hAnsi="Arial" w:cs="Arial"/>
          <w:sz w:val="22"/>
          <w:szCs w:val="22"/>
        </w:rPr>
        <w:t>que</w:t>
      </w:r>
      <w:r w:rsidRPr="00FD62A0">
        <w:rPr>
          <w:rFonts w:ascii="Arial" w:hAnsi="Arial" w:cs="Arial"/>
          <w:sz w:val="22"/>
          <w:szCs w:val="22"/>
        </w:rPr>
        <w:t xml:space="preserve"> deste modelo </w:t>
      </w:r>
      <w:r w:rsidR="00287ADC" w:rsidRPr="00FD62A0">
        <w:rPr>
          <w:rFonts w:ascii="Arial" w:hAnsi="Arial" w:cs="Arial"/>
          <w:sz w:val="22"/>
          <w:szCs w:val="22"/>
        </w:rPr>
        <w:t>está</w:t>
      </w:r>
      <w:r w:rsidRPr="00FD62A0">
        <w:rPr>
          <w:rFonts w:ascii="Arial" w:hAnsi="Arial" w:cs="Arial"/>
          <w:sz w:val="22"/>
          <w:szCs w:val="22"/>
        </w:rPr>
        <w:t xml:space="preserve"> na melhoria das respostas às necessidades da sociedade. Este novo padrão estim</w:t>
      </w:r>
      <w:r w:rsidR="00287ADC" w:rsidRPr="00FD62A0">
        <w:rPr>
          <w:rFonts w:ascii="Arial" w:hAnsi="Arial" w:cs="Arial"/>
          <w:sz w:val="22"/>
          <w:szCs w:val="22"/>
        </w:rPr>
        <w:t>ula os cidadãos a participarem d</w:t>
      </w:r>
      <w:r w:rsidRPr="00FD62A0">
        <w:rPr>
          <w:rFonts w:ascii="Arial" w:hAnsi="Arial" w:cs="Arial"/>
          <w:sz w:val="22"/>
          <w:szCs w:val="22"/>
        </w:rPr>
        <w:t>o desenvolvimento da política e da Admin</w:t>
      </w:r>
      <w:r w:rsidR="00287ADC" w:rsidRPr="00FD62A0">
        <w:rPr>
          <w:rFonts w:ascii="Arial" w:hAnsi="Arial" w:cs="Arial"/>
          <w:sz w:val="22"/>
          <w:szCs w:val="22"/>
        </w:rPr>
        <w:t>istração Pública uma vez que est</w:t>
      </w:r>
      <w:r w:rsidRPr="00FD62A0">
        <w:rPr>
          <w:rFonts w:ascii="Arial" w:hAnsi="Arial" w:cs="Arial"/>
          <w:sz w:val="22"/>
          <w:szCs w:val="22"/>
        </w:rPr>
        <w:t xml:space="preserve">as são responsáveis por assegurar os interesses da sociedade.  </w:t>
      </w:r>
    </w:p>
    <w:p w:rsidR="00616951" w:rsidRPr="00FD62A0" w:rsidRDefault="00616951" w:rsidP="00BF4427">
      <w:pPr>
        <w:spacing w:line="360" w:lineRule="auto"/>
        <w:jc w:val="both"/>
        <w:rPr>
          <w:rFonts w:ascii="Arial" w:hAnsi="Arial" w:cs="Arial"/>
          <w:b/>
          <w:sz w:val="22"/>
          <w:szCs w:val="22"/>
        </w:rPr>
      </w:pPr>
      <w:r w:rsidRPr="00FD62A0">
        <w:rPr>
          <w:rFonts w:ascii="Arial" w:hAnsi="Arial" w:cs="Arial"/>
          <w:b/>
          <w:sz w:val="22"/>
          <w:szCs w:val="22"/>
        </w:rPr>
        <w:tab/>
      </w:r>
      <w:r w:rsidRPr="00FD62A0">
        <w:rPr>
          <w:rFonts w:ascii="Arial" w:hAnsi="Arial" w:cs="Arial"/>
          <w:sz w:val="22"/>
          <w:szCs w:val="22"/>
        </w:rPr>
        <w:t>Denhardt &amp; Denhardt</w:t>
      </w:r>
      <w:r w:rsidR="002265C1" w:rsidRPr="00FD62A0">
        <w:rPr>
          <w:rFonts w:ascii="Arial" w:hAnsi="Arial" w:cs="Arial"/>
          <w:sz w:val="22"/>
          <w:szCs w:val="22"/>
        </w:rPr>
        <w:t xml:space="preserve"> afirmam que a pessoa, enquanto </w:t>
      </w:r>
      <w:r w:rsidR="00903C11" w:rsidRPr="00FD62A0">
        <w:rPr>
          <w:rFonts w:ascii="Arial" w:hAnsi="Arial" w:cs="Arial"/>
          <w:sz w:val="22"/>
          <w:szCs w:val="22"/>
        </w:rPr>
        <w:t>participante da Administração P</w:t>
      </w:r>
      <w:r w:rsidR="0006750D" w:rsidRPr="00FD62A0">
        <w:rPr>
          <w:rFonts w:ascii="Arial" w:hAnsi="Arial" w:cs="Arial"/>
          <w:sz w:val="22"/>
          <w:szCs w:val="22"/>
        </w:rPr>
        <w:t xml:space="preserve">ública, se enquadra no conceito de cidadão </w:t>
      </w:r>
      <w:r w:rsidR="00D363AE" w:rsidRPr="00FD62A0">
        <w:rPr>
          <w:rFonts w:ascii="Arial" w:hAnsi="Arial" w:cs="Arial"/>
          <w:sz w:val="22"/>
          <w:szCs w:val="22"/>
        </w:rPr>
        <w:t>virtuoso,</w:t>
      </w:r>
      <w:r w:rsidR="00E000AD" w:rsidRPr="00FD62A0">
        <w:rPr>
          <w:rFonts w:ascii="Arial" w:hAnsi="Arial" w:cs="Arial"/>
          <w:sz w:val="22"/>
          <w:szCs w:val="22"/>
        </w:rPr>
        <w:t xml:space="preserve"> </w:t>
      </w:r>
      <w:r w:rsidR="00D363AE" w:rsidRPr="00FD62A0">
        <w:rPr>
          <w:rFonts w:ascii="Arial" w:hAnsi="Arial" w:cs="Arial"/>
          <w:sz w:val="22"/>
          <w:szCs w:val="22"/>
        </w:rPr>
        <w:t>que é o cidadão engajado no serviço para a comunidade</w:t>
      </w:r>
      <w:r w:rsidR="009A764C" w:rsidRPr="00FD62A0">
        <w:rPr>
          <w:rFonts w:ascii="Arial" w:hAnsi="Arial" w:cs="Arial"/>
          <w:sz w:val="22"/>
          <w:szCs w:val="22"/>
        </w:rPr>
        <w:t xml:space="preserve">, atribuindo a si a responsabilidade de servir aos outros. </w:t>
      </w:r>
      <w:r w:rsidR="006B3DB2" w:rsidRPr="00FD62A0">
        <w:rPr>
          <w:rFonts w:ascii="Arial" w:hAnsi="Arial" w:cs="Arial"/>
          <w:sz w:val="22"/>
          <w:szCs w:val="22"/>
        </w:rPr>
        <w:t xml:space="preserve">No sentido profissional, o servidor público ou administrador estende suas responsabilidades como cidadão, para sua vida profissional. </w:t>
      </w:r>
      <w:r w:rsidR="009A764C" w:rsidRPr="00FD62A0">
        <w:rPr>
          <w:rFonts w:ascii="Arial" w:hAnsi="Arial" w:cs="Arial"/>
          <w:sz w:val="22"/>
          <w:szCs w:val="22"/>
        </w:rPr>
        <w:t>(Denhardt &amp; Denhardt, 2002)</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Para aumentar a participação da sociedade, o Estado deve criar mecanismos que </w:t>
      </w:r>
      <w:r w:rsidR="00287ADC" w:rsidRPr="00FD62A0">
        <w:rPr>
          <w:rFonts w:ascii="Arial" w:hAnsi="Arial" w:cs="Arial"/>
          <w:sz w:val="22"/>
          <w:szCs w:val="22"/>
        </w:rPr>
        <w:t>suscit</w:t>
      </w:r>
      <w:r w:rsidRPr="00FD62A0">
        <w:rPr>
          <w:rFonts w:ascii="Arial" w:hAnsi="Arial" w:cs="Arial"/>
          <w:sz w:val="22"/>
          <w:szCs w:val="22"/>
        </w:rPr>
        <w:t xml:space="preserve">em a participação dos cidadãos no processo decisório, aproximando-os da tomada de decisões e das responsabilidades da administração. Tal premissa pode ser confirmada nas </w:t>
      </w:r>
      <w:r w:rsidRPr="00FD62A0">
        <w:rPr>
          <w:rFonts w:ascii="Arial" w:hAnsi="Arial" w:cs="Arial"/>
          <w:sz w:val="22"/>
          <w:szCs w:val="22"/>
        </w:rPr>
        <w:lastRenderedPageBreak/>
        <w:t xml:space="preserve">palavras de </w:t>
      </w:r>
      <w:r w:rsidR="00616951" w:rsidRPr="00FD62A0">
        <w:rPr>
          <w:rFonts w:ascii="Arial" w:hAnsi="Arial" w:cs="Arial"/>
          <w:sz w:val="22"/>
          <w:szCs w:val="22"/>
        </w:rPr>
        <w:t>Denhardt &amp; Denhardt</w:t>
      </w:r>
      <w:r w:rsidRPr="00FD62A0">
        <w:rPr>
          <w:rFonts w:ascii="Arial" w:hAnsi="Arial" w:cs="Arial"/>
          <w:sz w:val="22"/>
          <w:szCs w:val="22"/>
        </w:rPr>
        <w:t xml:space="preserve"> “a noção do Novo Serviço Público contribui na remodelação do Estado, para uma mudança de mentalidade na busca de uma gestão mais participativa” pode-se inferir que este modelo de administração apresenta forte interesse nos valores democráticos. (Denhardt &amp; Denhardt, 200</w:t>
      </w:r>
      <w:r w:rsidR="009A764C" w:rsidRPr="00FD62A0">
        <w:rPr>
          <w:rFonts w:ascii="Arial" w:hAnsi="Arial" w:cs="Arial"/>
          <w:sz w:val="22"/>
          <w:szCs w:val="22"/>
        </w:rPr>
        <w:t>2</w:t>
      </w:r>
      <w:r w:rsidRPr="00FD62A0">
        <w:rPr>
          <w:rFonts w:ascii="Arial" w:hAnsi="Arial" w:cs="Arial"/>
          <w:sz w:val="22"/>
          <w:szCs w:val="22"/>
        </w:rPr>
        <w:t>)</w:t>
      </w:r>
    </w:p>
    <w:p w:rsidR="004A4C2B" w:rsidRPr="00FD62A0" w:rsidRDefault="00DB042F" w:rsidP="00BF4427">
      <w:pPr>
        <w:spacing w:line="360" w:lineRule="auto"/>
        <w:ind w:firstLine="708"/>
        <w:jc w:val="both"/>
        <w:rPr>
          <w:rFonts w:ascii="Arial" w:hAnsi="Arial" w:cs="Arial"/>
          <w:sz w:val="22"/>
          <w:szCs w:val="22"/>
        </w:rPr>
      </w:pPr>
      <w:r w:rsidRPr="00FD62A0">
        <w:rPr>
          <w:rFonts w:ascii="Arial" w:hAnsi="Arial" w:cs="Arial"/>
          <w:sz w:val="22"/>
          <w:szCs w:val="22"/>
        </w:rPr>
        <w:t>A</w:t>
      </w:r>
      <w:r w:rsidR="00C630AD" w:rsidRPr="00FD62A0">
        <w:rPr>
          <w:rFonts w:ascii="Arial" w:hAnsi="Arial" w:cs="Arial"/>
          <w:sz w:val="22"/>
          <w:szCs w:val="22"/>
        </w:rPr>
        <w:t xml:space="preserve">o mesmo tempo em que os cidadãos são chamados a contribuir com a sociedade, eles esperam ter a oportunidade de influenciar os serviços que recebem, assim como </w:t>
      </w:r>
      <w:r w:rsidR="005C5BA2" w:rsidRPr="00FD62A0">
        <w:rPr>
          <w:rFonts w:ascii="Arial" w:hAnsi="Arial" w:cs="Arial"/>
          <w:sz w:val="22"/>
          <w:szCs w:val="22"/>
        </w:rPr>
        <w:t xml:space="preserve">em </w:t>
      </w:r>
      <w:r w:rsidR="00C630AD" w:rsidRPr="00FD62A0">
        <w:rPr>
          <w:rFonts w:ascii="Arial" w:hAnsi="Arial" w:cs="Arial"/>
          <w:sz w:val="22"/>
          <w:szCs w:val="22"/>
        </w:rPr>
        <w:t>sua qualidade.</w:t>
      </w:r>
      <w:r w:rsidR="00C93A53" w:rsidRPr="00FD62A0">
        <w:rPr>
          <w:rFonts w:ascii="Arial" w:hAnsi="Arial" w:cs="Arial"/>
          <w:sz w:val="22"/>
          <w:szCs w:val="22"/>
        </w:rPr>
        <w:t xml:space="preserve"> A</w:t>
      </w:r>
      <w:r w:rsidR="00CD1455" w:rsidRPr="00FD62A0">
        <w:rPr>
          <w:rFonts w:ascii="Arial" w:hAnsi="Arial" w:cs="Arial"/>
          <w:sz w:val="22"/>
          <w:szCs w:val="22"/>
        </w:rPr>
        <w:t xml:space="preserve"> prestação de serviços de qualidade, entretanto, </w:t>
      </w:r>
      <w:r w:rsidR="002F306E" w:rsidRPr="00FD62A0">
        <w:rPr>
          <w:rFonts w:ascii="Arial" w:hAnsi="Arial" w:cs="Arial"/>
          <w:sz w:val="22"/>
          <w:szCs w:val="22"/>
        </w:rPr>
        <w:t>tem abordagem</w:t>
      </w:r>
      <w:r w:rsidR="00CD1455" w:rsidRPr="00FD62A0">
        <w:rPr>
          <w:rFonts w:ascii="Arial" w:hAnsi="Arial" w:cs="Arial"/>
          <w:sz w:val="22"/>
          <w:szCs w:val="22"/>
        </w:rPr>
        <w:t xml:space="preserve"> relativa.</w:t>
      </w:r>
      <w:r w:rsidR="00C93A53" w:rsidRPr="00FD62A0">
        <w:rPr>
          <w:rFonts w:ascii="Arial" w:hAnsi="Arial" w:cs="Arial"/>
          <w:sz w:val="22"/>
          <w:szCs w:val="22"/>
        </w:rPr>
        <w:t xml:space="preserve"> </w:t>
      </w:r>
      <w:r w:rsidR="0064657D" w:rsidRPr="00FD62A0">
        <w:rPr>
          <w:rFonts w:ascii="Arial" w:hAnsi="Arial" w:cs="Arial"/>
          <w:sz w:val="22"/>
          <w:szCs w:val="22"/>
        </w:rPr>
        <w:t xml:space="preserve">Enquanto o setor privado pode </w:t>
      </w:r>
      <w:r w:rsidR="004A4C2B" w:rsidRPr="00FD62A0">
        <w:rPr>
          <w:rFonts w:ascii="Arial" w:hAnsi="Arial" w:cs="Arial"/>
          <w:sz w:val="22"/>
          <w:szCs w:val="22"/>
        </w:rPr>
        <w:t>e deve satisfazer as necessidades imediatas de seus consumidores, o governo não pode.</w:t>
      </w:r>
      <w:r w:rsidRPr="00FD62A0">
        <w:rPr>
          <w:rFonts w:ascii="Arial" w:hAnsi="Arial" w:cs="Arial"/>
          <w:sz w:val="22"/>
          <w:szCs w:val="22"/>
        </w:rPr>
        <w:t xml:space="preserve"> </w:t>
      </w:r>
      <w:r w:rsidR="004A4C2B" w:rsidRPr="00FD62A0">
        <w:rPr>
          <w:rFonts w:ascii="Arial" w:hAnsi="Arial" w:cs="Arial"/>
          <w:sz w:val="22"/>
          <w:szCs w:val="22"/>
        </w:rPr>
        <w:t xml:space="preserve">Isso ocorre </w:t>
      </w:r>
      <w:r w:rsidR="00256B89" w:rsidRPr="00FD62A0">
        <w:rPr>
          <w:rFonts w:ascii="Arial" w:hAnsi="Arial" w:cs="Arial"/>
          <w:sz w:val="22"/>
          <w:szCs w:val="22"/>
        </w:rPr>
        <w:t xml:space="preserve">pelo fato de que o governo deve prestar serviços que englobem as necessidades de toda a sociedade, não atendendo </w:t>
      </w:r>
      <w:r w:rsidRPr="00FD62A0">
        <w:rPr>
          <w:rFonts w:ascii="Arial" w:hAnsi="Arial" w:cs="Arial"/>
          <w:sz w:val="22"/>
          <w:szCs w:val="22"/>
        </w:rPr>
        <w:t>aos interesses individuais.</w:t>
      </w:r>
    </w:p>
    <w:p w:rsidR="00AA6A16" w:rsidRPr="00FD62A0" w:rsidRDefault="009C224F" w:rsidP="005B3930">
      <w:pPr>
        <w:spacing w:line="360" w:lineRule="auto"/>
        <w:jc w:val="both"/>
        <w:rPr>
          <w:rFonts w:ascii="Arial" w:hAnsi="Arial" w:cs="Arial"/>
          <w:sz w:val="22"/>
          <w:szCs w:val="22"/>
        </w:rPr>
      </w:pPr>
      <w:r w:rsidRPr="00FD62A0">
        <w:rPr>
          <w:rFonts w:ascii="Arial" w:hAnsi="Arial" w:cs="Arial"/>
          <w:sz w:val="22"/>
          <w:szCs w:val="22"/>
        </w:rPr>
        <w:tab/>
      </w:r>
      <w:r w:rsidR="00AA6A16" w:rsidRPr="00FD62A0">
        <w:rPr>
          <w:rFonts w:ascii="Arial" w:hAnsi="Arial" w:cs="Arial"/>
          <w:sz w:val="22"/>
          <w:szCs w:val="22"/>
        </w:rPr>
        <w:t>Denhardt &amp; Denhardt listam alguns esforços que podem definir o que é um serviço público de qualidade. Entre elas estão</w:t>
      </w:r>
      <w:r w:rsidR="00DB10A7" w:rsidRPr="00FD62A0">
        <w:rPr>
          <w:rFonts w:ascii="Arial" w:hAnsi="Arial" w:cs="Arial"/>
          <w:sz w:val="22"/>
          <w:szCs w:val="22"/>
        </w:rPr>
        <w:t>:</w:t>
      </w:r>
    </w:p>
    <w:p w:rsidR="00DB10A7" w:rsidRPr="00FD62A0" w:rsidRDefault="00DB10A7" w:rsidP="005B3930">
      <w:pPr>
        <w:spacing w:line="360" w:lineRule="auto"/>
        <w:jc w:val="both"/>
        <w:rPr>
          <w:rFonts w:ascii="Arial" w:hAnsi="Arial" w:cs="Arial"/>
          <w:sz w:val="22"/>
          <w:szCs w:val="22"/>
        </w:rPr>
      </w:pPr>
      <w:r w:rsidRPr="00FD62A0">
        <w:rPr>
          <w:rFonts w:ascii="Arial" w:hAnsi="Arial" w:cs="Arial"/>
          <w:sz w:val="22"/>
          <w:szCs w:val="22"/>
        </w:rPr>
        <w:t>Conveniência: Os serviços governamentais são de fácil acesso e disponíveis aos cidadãos;</w:t>
      </w:r>
    </w:p>
    <w:p w:rsidR="00DB10A7" w:rsidRPr="00FD62A0" w:rsidRDefault="002F65FF" w:rsidP="005B3930">
      <w:pPr>
        <w:spacing w:line="360" w:lineRule="auto"/>
        <w:jc w:val="both"/>
        <w:rPr>
          <w:rFonts w:ascii="Arial" w:hAnsi="Arial" w:cs="Arial"/>
          <w:sz w:val="22"/>
          <w:szCs w:val="22"/>
        </w:rPr>
      </w:pPr>
      <w:r w:rsidRPr="00FD62A0">
        <w:rPr>
          <w:rFonts w:ascii="Arial" w:hAnsi="Arial" w:cs="Arial"/>
          <w:sz w:val="22"/>
          <w:szCs w:val="22"/>
        </w:rPr>
        <w:t>Segurança: Os serviços são providos de forma que os cidadãos se sintam seguros e confortáveis em utilizá-los;</w:t>
      </w:r>
    </w:p>
    <w:p w:rsidR="002F65FF" w:rsidRPr="00FD62A0" w:rsidRDefault="00A12874" w:rsidP="005B3930">
      <w:pPr>
        <w:spacing w:line="360" w:lineRule="auto"/>
        <w:jc w:val="both"/>
        <w:rPr>
          <w:rFonts w:ascii="Arial" w:hAnsi="Arial" w:cs="Arial"/>
          <w:sz w:val="22"/>
          <w:szCs w:val="22"/>
        </w:rPr>
      </w:pPr>
      <w:r w:rsidRPr="00FD62A0">
        <w:rPr>
          <w:rFonts w:ascii="Arial" w:hAnsi="Arial" w:cs="Arial"/>
          <w:sz w:val="22"/>
          <w:szCs w:val="22"/>
        </w:rPr>
        <w:t xml:space="preserve">Confiabilidade: Os serviços públicos são fornecidos </w:t>
      </w:r>
      <w:r w:rsidR="005B3930" w:rsidRPr="00FD62A0">
        <w:rPr>
          <w:rFonts w:ascii="Arial" w:hAnsi="Arial" w:cs="Arial"/>
          <w:sz w:val="22"/>
          <w:szCs w:val="22"/>
        </w:rPr>
        <w:t>corretamente e no prazo;</w:t>
      </w:r>
    </w:p>
    <w:p w:rsidR="005B3930" w:rsidRPr="00FD62A0" w:rsidRDefault="005B3930" w:rsidP="005B3930">
      <w:pPr>
        <w:spacing w:line="360" w:lineRule="auto"/>
        <w:jc w:val="both"/>
        <w:rPr>
          <w:rFonts w:ascii="Arial" w:hAnsi="Arial" w:cs="Arial"/>
          <w:sz w:val="22"/>
          <w:szCs w:val="22"/>
        </w:rPr>
      </w:pPr>
      <w:r w:rsidRPr="00FD62A0">
        <w:rPr>
          <w:rFonts w:ascii="Arial" w:hAnsi="Arial" w:cs="Arial"/>
          <w:sz w:val="22"/>
          <w:szCs w:val="22"/>
        </w:rPr>
        <w:t xml:space="preserve">Atenção pessoal e resolução de problemas: Os empregados fornecem informação aos cidadãos </w:t>
      </w:r>
      <w:r w:rsidR="0082050F" w:rsidRPr="00FD62A0">
        <w:rPr>
          <w:rFonts w:ascii="Arial" w:hAnsi="Arial" w:cs="Arial"/>
          <w:sz w:val="22"/>
          <w:szCs w:val="22"/>
        </w:rPr>
        <w:t>e trabalham para alcançar suas necessidades;</w:t>
      </w:r>
    </w:p>
    <w:p w:rsidR="0082050F" w:rsidRPr="00FD62A0" w:rsidRDefault="000620A7" w:rsidP="005B3930">
      <w:pPr>
        <w:spacing w:line="360" w:lineRule="auto"/>
        <w:jc w:val="both"/>
        <w:rPr>
          <w:rFonts w:ascii="Arial" w:hAnsi="Arial" w:cs="Arial"/>
          <w:sz w:val="22"/>
          <w:szCs w:val="22"/>
        </w:rPr>
      </w:pPr>
      <w:r w:rsidRPr="00FD62A0">
        <w:rPr>
          <w:rFonts w:ascii="Arial" w:hAnsi="Arial" w:cs="Arial"/>
          <w:sz w:val="22"/>
          <w:szCs w:val="22"/>
        </w:rPr>
        <w:t>Imparcialidade:</w:t>
      </w:r>
      <w:r w:rsidR="0082050F" w:rsidRPr="00FD62A0">
        <w:rPr>
          <w:rFonts w:ascii="Arial" w:hAnsi="Arial" w:cs="Arial"/>
          <w:sz w:val="22"/>
          <w:szCs w:val="22"/>
        </w:rPr>
        <w:t xml:space="preserve"> Os cidadãos acreditam que os serviços são fornecidos de forma equitativa a todos;</w:t>
      </w:r>
      <w:r w:rsidR="009C224F" w:rsidRPr="00FD62A0">
        <w:rPr>
          <w:rFonts w:ascii="Arial" w:hAnsi="Arial" w:cs="Arial"/>
          <w:sz w:val="22"/>
          <w:szCs w:val="22"/>
        </w:rPr>
        <w:t xml:space="preserve"> e</w:t>
      </w:r>
    </w:p>
    <w:p w:rsidR="0030055B" w:rsidRPr="00FD62A0" w:rsidRDefault="00082FC0" w:rsidP="005B3930">
      <w:pPr>
        <w:spacing w:line="360" w:lineRule="auto"/>
        <w:jc w:val="both"/>
        <w:rPr>
          <w:rFonts w:ascii="Arial" w:hAnsi="Arial" w:cs="Arial"/>
          <w:sz w:val="22"/>
          <w:szCs w:val="22"/>
        </w:rPr>
      </w:pPr>
      <w:r w:rsidRPr="00FD62A0">
        <w:rPr>
          <w:rFonts w:ascii="Arial" w:hAnsi="Arial" w:cs="Arial"/>
          <w:sz w:val="22"/>
          <w:szCs w:val="22"/>
        </w:rPr>
        <w:t xml:space="preserve">Responsabilidade fiscal: </w:t>
      </w:r>
      <w:r w:rsidR="003C613E" w:rsidRPr="00FD62A0">
        <w:rPr>
          <w:rFonts w:ascii="Arial" w:hAnsi="Arial" w:cs="Arial"/>
          <w:sz w:val="22"/>
          <w:szCs w:val="22"/>
        </w:rPr>
        <w:t xml:space="preserve">Os cidadãos acreditam que o governo local provê os serviços de forma </w:t>
      </w:r>
      <w:r w:rsidR="0030055B" w:rsidRPr="00FD62A0">
        <w:rPr>
          <w:rFonts w:ascii="Arial" w:hAnsi="Arial" w:cs="Arial"/>
          <w:sz w:val="22"/>
          <w:szCs w:val="22"/>
        </w:rPr>
        <w:t xml:space="preserve">a usar o dinheiro público com responsabilidade; </w:t>
      </w:r>
    </w:p>
    <w:p w:rsidR="009A764C" w:rsidRPr="00FD62A0" w:rsidRDefault="009F1B2A" w:rsidP="00BF4427">
      <w:pPr>
        <w:spacing w:line="360" w:lineRule="auto"/>
        <w:ind w:firstLine="708"/>
        <w:jc w:val="both"/>
        <w:rPr>
          <w:rFonts w:ascii="Arial" w:hAnsi="Arial" w:cs="Arial"/>
          <w:sz w:val="22"/>
          <w:szCs w:val="22"/>
        </w:rPr>
      </w:pPr>
      <w:r w:rsidRPr="00FD62A0">
        <w:rPr>
          <w:rFonts w:ascii="Arial" w:hAnsi="Arial" w:cs="Arial"/>
          <w:sz w:val="22"/>
          <w:szCs w:val="22"/>
        </w:rPr>
        <w:t>De forma resumida, os principais aspectos norteadores</w:t>
      </w:r>
      <w:r w:rsidR="001121B3" w:rsidRPr="00FD62A0">
        <w:rPr>
          <w:rFonts w:ascii="Arial" w:hAnsi="Arial" w:cs="Arial"/>
          <w:sz w:val="22"/>
          <w:szCs w:val="22"/>
        </w:rPr>
        <w:t xml:space="preserve"> do </w:t>
      </w:r>
      <w:r w:rsidR="001121B3" w:rsidRPr="00FD62A0">
        <w:rPr>
          <w:rFonts w:ascii="Arial" w:hAnsi="Arial" w:cs="Arial"/>
          <w:i/>
          <w:sz w:val="22"/>
          <w:szCs w:val="22"/>
        </w:rPr>
        <w:t>New Public Service</w:t>
      </w:r>
      <w:r w:rsidR="001121B3" w:rsidRPr="00FD62A0">
        <w:rPr>
          <w:rFonts w:ascii="Arial" w:hAnsi="Arial" w:cs="Arial"/>
          <w:sz w:val="22"/>
          <w:szCs w:val="22"/>
        </w:rPr>
        <w:t xml:space="preserve"> são: servir a cidadãos em vez de consumidores, atender os interesses públicos, destacar a cidadania e o serviço público em detrimento do empreendedorismo, agir de acordo com os valores democráticos, entre outros. Partindo destes princípios, é possível constatar que o modelo é formado de administradores motivados a servir à população, a fim de que essa possa alcançar seus objetivos. Nesse sentido, o serviço público passa a ser visto como um ato de cidadania uma vez que busca “encontrar valores compartilhados e interesses comuns por meio de um diálogo generalizado e engajamento dos cidadãos”.</w:t>
      </w:r>
      <w:r w:rsidR="00CE438E" w:rsidRPr="00FD62A0">
        <w:rPr>
          <w:rFonts w:ascii="Arial" w:hAnsi="Arial" w:cs="Arial"/>
          <w:sz w:val="22"/>
          <w:szCs w:val="22"/>
        </w:rPr>
        <w:t xml:space="preserve"> (Denhardt &amp; Denhardt, 2002).</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 Moro afirma que o cidadão deixa de ser apenas receptor do bem-estar, passando a comprometer-se com a formulação, a implementação e os resultados da polít</w:t>
      </w:r>
      <w:r w:rsidR="00287ADC" w:rsidRPr="00FD62A0">
        <w:rPr>
          <w:rFonts w:ascii="Arial" w:hAnsi="Arial" w:cs="Arial"/>
          <w:sz w:val="22"/>
          <w:szCs w:val="22"/>
        </w:rPr>
        <w:t>ica pública.</w:t>
      </w:r>
      <w:r w:rsidRPr="00FD62A0">
        <w:rPr>
          <w:rFonts w:ascii="Arial" w:hAnsi="Arial" w:cs="Arial"/>
          <w:sz w:val="22"/>
          <w:szCs w:val="22"/>
        </w:rPr>
        <w:t xml:space="preserve"> (Moro, 2002) Neste modelo, o cidadão passa a co-atuar com o governo, numa espécie de divisão de responsabilidades na busca por resultados. (Denhardt &amp; Denhardt, 200</w:t>
      </w:r>
      <w:r w:rsidR="009A764C" w:rsidRPr="00FD62A0">
        <w:rPr>
          <w:rFonts w:ascii="Arial" w:hAnsi="Arial" w:cs="Arial"/>
          <w:sz w:val="22"/>
          <w:szCs w:val="22"/>
        </w:rPr>
        <w:t>2</w:t>
      </w:r>
      <w:r w:rsidRPr="00FD62A0">
        <w:rPr>
          <w:rFonts w:ascii="Arial" w:hAnsi="Arial" w:cs="Arial"/>
          <w:sz w:val="22"/>
          <w:szCs w:val="22"/>
        </w:rPr>
        <w:t>)</w:t>
      </w:r>
      <w:r w:rsidR="00F97C57" w:rsidRPr="00FD62A0">
        <w:rPr>
          <w:rFonts w:ascii="Arial" w:hAnsi="Arial" w:cs="Arial"/>
          <w:sz w:val="22"/>
          <w:szCs w:val="22"/>
        </w:rPr>
        <w:t>. A</w:t>
      </w:r>
      <w:r w:rsidRPr="00FD62A0">
        <w:rPr>
          <w:rFonts w:ascii="Arial" w:hAnsi="Arial" w:cs="Arial"/>
          <w:sz w:val="22"/>
          <w:szCs w:val="22"/>
        </w:rPr>
        <w:t xml:space="preserve"> decisão do governo por uma ou outra reforma administrativa é condicionada por diversos </w:t>
      </w:r>
      <w:r w:rsidRPr="00FD62A0">
        <w:rPr>
          <w:rFonts w:ascii="Arial" w:hAnsi="Arial" w:cs="Arial"/>
          <w:sz w:val="22"/>
          <w:szCs w:val="22"/>
        </w:rPr>
        <w:lastRenderedPageBreak/>
        <w:t>fatores como a orientação política do partido que está no governo, o poder dos sindicatos do serviço público, o contexto sócio-econômico e a cultura administrativa. (Peters, 1997)</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Nesse contexto, e a partir dos pontos acima elencados, cabe destacar que um modelo de reforma não é necessariamente melhor ou pior que o outro. O que estabelece qual modelo a ser aplicado em determinada sociedade é o momento vivido por esta. Para que as reformas propostas sejam de fato efetivadas, é necessário que os Estados possuam maior governança, para que possam </w:t>
      </w:r>
      <w:r w:rsidR="00287ADC" w:rsidRPr="00FD62A0">
        <w:rPr>
          <w:rFonts w:ascii="Arial" w:hAnsi="Arial" w:cs="Arial"/>
          <w:sz w:val="22"/>
          <w:szCs w:val="22"/>
        </w:rPr>
        <w:t>responder melhor à</w:t>
      </w:r>
      <w:r w:rsidRPr="00FD62A0">
        <w:rPr>
          <w:rFonts w:ascii="Arial" w:hAnsi="Arial" w:cs="Arial"/>
          <w:sz w:val="22"/>
          <w:szCs w:val="22"/>
        </w:rPr>
        <w:t xml:space="preserve">s mudanças que ocorrem em sua sociedade, correspondendo às suas necessidades. </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Por governança, Santos define que </w:t>
      </w:r>
    </w:p>
    <w:p w:rsidR="001121B3" w:rsidRPr="00FD62A0" w:rsidRDefault="001121B3" w:rsidP="00BF4427">
      <w:pPr>
        <w:spacing w:line="360" w:lineRule="auto"/>
        <w:ind w:left="709"/>
        <w:jc w:val="both"/>
        <w:rPr>
          <w:rFonts w:ascii="Arial" w:hAnsi="Arial" w:cs="Arial"/>
          <w:sz w:val="20"/>
          <w:szCs w:val="20"/>
        </w:rPr>
      </w:pPr>
      <w:r w:rsidRPr="00FD62A0">
        <w:rPr>
          <w:rFonts w:ascii="Arial" w:hAnsi="Arial" w:cs="Arial"/>
          <w:sz w:val="20"/>
          <w:szCs w:val="20"/>
        </w:rPr>
        <w:t>refere-se ao modus operandi das políticas governamentais – que inclui, dentre outras, questões ligadas ao formato político-institucional do processo decisório, à definição do mix apropriado de financiamento de políticas e ao alcance geral dos programas. (Santos, 1997)</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Segundo a Comissão sobre governança global, a governança abrange amplo conjunto de atores, como segue:</w:t>
      </w:r>
    </w:p>
    <w:p w:rsidR="001121B3" w:rsidRPr="00FD62A0" w:rsidRDefault="001121B3" w:rsidP="00BF4427">
      <w:pPr>
        <w:pStyle w:val="NormalWeb"/>
        <w:spacing w:before="0" w:beforeAutospacing="0" w:after="0" w:afterAutospacing="0" w:line="360" w:lineRule="auto"/>
        <w:ind w:left="709"/>
        <w:jc w:val="both"/>
        <w:rPr>
          <w:rFonts w:ascii="Arial" w:eastAsia="TimesNewRomanPSMT" w:hAnsi="Arial" w:cs="Arial"/>
          <w:sz w:val="22"/>
          <w:szCs w:val="22"/>
        </w:rPr>
      </w:pPr>
      <w:r w:rsidRPr="00FD62A0">
        <w:rPr>
          <w:rFonts w:ascii="Arial" w:hAnsi="Arial" w:cs="Arial"/>
          <w:iCs/>
          <w:sz w:val="20"/>
          <w:szCs w:val="20"/>
        </w:rPr>
        <w:t>A governança global pode ser definida como a soma de todas as maneiras pelas quais todos os indivíduos e instituições, públicas ou particulares, administram seus interesses. É um processo contínuo pelo qual interesses conflitantes ou divergentes podem ser solucionados e assim adotar uma ação cooperativa. A governança global envolve tanto organizações não-governamentais, como as governamentais, movimentos de cidadania, corporações multinacionais e o mercado global de capital. Interagindo com todos eles encontram-se os meios de comunicação globais</w:t>
      </w:r>
      <w:r w:rsidR="00087727" w:rsidRPr="00FD62A0">
        <w:rPr>
          <w:rFonts w:ascii="Arial" w:hAnsi="Arial" w:cs="Arial"/>
          <w:sz w:val="20"/>
          <w:szCs w:val="20"/>
        </w:rPr>
        <w:t>.</w:t>
      </w:r>
      <w:r w:rsidRPr="00FD62A0">
        <w:rPr>
          <w:rFonts w:ascii="Arial" w:hAnsi="Arial" w:cs="Arial"/>
          <w:sz w:val="20"/>
          <w:szCs w:val="20"/>
        </w:rPr>
        <w:t xml:space="preserve"> </w:t>
      </w:r>
      <w:r w:rsidRPr="00FD62A0">
        <w:rPr>
          <w:rFonts w:ascii="Arial" w:eastAsia="TimesNewRomanPSMT" w:hAnsi="Arial" w:cs="Arial"/>
          <w:sz w:val="20"/>
          <w:szCs w:val="20"/>
        </w:rPr>
        <w:t>(</w:t>
      </w:r>
      <w:r w:rsidR="004C12EC" w:rsidRPr="00FD62A0">
        <w:rPr>
          <w:rFonts w:ascii="Arial" w:eastAsia="TimesNewRomanPSMT" w:hAnsi="Arial" w:cs="Arial"/>
          <w:sz w:val="20"/>
          <w:szCs w:val="20"/>
        </w:rPr>
        <w:t>Fundação Getúlio Vargas</w:t>
      </w:r>
      <w:r w:rsidRPr="00FD62A0">
        <w:rPr>
          <w:rFonts w:ascii="Arial" w:eastAsia="TimesNewRomanPSMT" w:hAnsi="Arial" w:cs="Arial"/>
          <w:sz w:val="20"/>
          <w:szCs w:val="20"/>
        </w:rPr>
        <w:t>, 1996)</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A crescente importância deste conceito na Administração Pública ocorre em parte devido às constantes mudanças do cenário internacional. A interdependência observada nos cenários internacional e nacional acaba por limitar a autonomia estatal no que tange mesmo a suas políticas públicas. Atores como administrações regionais, instituições internacionais e associações e organismos não governamentais estão entre os que dividem espaço com o Estado. Uma das áreas em que o Estado mais perde autonomia é no campo das políticas públicas, onde os agentes podem agir de maneira mais ágil e direta.</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Essa interferência não é vista apenas como uma intervenção na esfera pública, mas sim como uma mudança no </w:t>
      </w:r>
      <w:r w:rsidRPr="00FD62A0">
        <w:rPr>
          <w:rFonts w:ascii="Arial" w:hAnsi="Arial" w:cs="Arial"/>
          <w:i/>
          <w:sz w:val="22"/>
          <w:szCs w:val="22"/>
        </w:rPr>
        <w:t>status quo</w:t>
      </w:r>
      <w:r w:rsidRPr="00FD62A0">
        <w:rPr>
          <w:rFonts w:ascii="Arial" w:hAnsi="Arial" w:cs="Arial"/>
          <w:sz w:val="22"/>
          <w:szCs w:val="22"/>
        </w:rPr>
        <w:t>. A partir desta constatação, Moro destaca que o Estado passa a ser um organizador ou facilitador do bem-estar, ao invés de ser o provedor. Ou seja, o papel do Estado de provimento e manutenção do bem-estar passa a se voltar a atores privados. Nesse sentido, estimulando a governança a nível nacional, o Estado volta a buscar seu poder de decisão, ressaltando-se aqui principalmente o poder no âmbito inter-estatal, a capacidade de tomar medidas a respeito de suas políticas nacionais. (Moro, 2002)</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Outro ponto a ser abordado a respeito das reformas além da busca pela governança</w:t>
      </w:r>
      <w:r w:rsidR="00580D21">
        <w:rPr>
          <w:rFonts w:ascii="Arial" w:hAnsi="Arial" w:cs="Arial"/>
          <w:sz w:val="22"/>
          <w:szCs w:val="22"/>
        </w:rPr>
        <w:t xml:space="preserve"> </w:t>
      </w:r>
      <w:r w:rsidRPr="00FD62A0">
        <w:rPr>
          <w:rFonts w:ascii="Arial" w:hAnsi="Arial" w:cs="Arial"/>
          <w:sz w:val="22"/>
          <w:szCs w:val="22"/>
        </w:rPr>
        <w:t>é a relação entre a política e a administração pública. As reformas</w:t>
      </w:r>
      <w:r w:rsidR="00580D21">
        <w:rPr>
          <w:rFonts w:ascii="Arial" w:hAnsi="Arial" w:cs="Arial"/>
          <w:sz w:val="22"/>
          <w:szCs w:val="22"/>
        </w:rPr>
        <w:t xml:space="preserve"> </w:t>
      </w:r>
      <w:r w:rsidRPr="00FD62A0">
        <w:rPr>
          <w:rFonts w:ascii="Arial" w:hAnsi="Arial" w:cs="Arial"/>
          <w:sz w:val="22"/>
          <w:szCs w:val="22"/>
        </w:rPr>
        <w:t xml:space="preserve">são pautadas na busca de novas formas de se conduzir a administração pública. Contudo, essas novas formas </w:t>
      </w:r>
      <w:r w:rsidRPr="00FD62A0">
        <w:rPr>
          <w:rFonts w:ascii="Arial" w:hAnsi="Arial" w:cs="Arial"/>
          <w:sz w:val="22"/>
          <w:szCs w:val="22"/>
        </w:rPr>
        <w:lastRenderedPageBreak/>
        <w:t xml:space="preserve">alteram a institucionalização do serviço público: os funcionários públicos vêem alteradas suas funções, obrigações e direitos. Tal mudança gera a necessidade de desenvolver nova burocracia, conhecida como “acordo do setor público”. Este acordo é a maneira encontrada para que servidores públicos e os demais atores da esfera política entrassem em acordo a respeito dos direitos e deveres dos servidores, podendo ser posto na forma de lei ou convenção. </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Os acordos constitutivos das burocracias estatais podem ser classificados em duas categorias: acordos sistêmicos ou acordos pragmáticos. Os acordos sistêmicos são caracterizados por arranjos estáveis onde os funcionários prestam serviços impessoais ao Estado em troca de benefícios e estabilidade empregatícia. Nos acordos pragmáticos por sua vez, os servidores públicos possuem maior liberdade de ação, entretanto passam a ser responsabilizados mais diretamente por seus atos, sendo caracterizado por menor estabilidade empregatícia.</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Partindo dos conceitos apresentados de Estado e Administração, assim como de seu histórico, sua evolução, tem-se o ambiente propício para tratar da interação que há entre o setor público e o setor privado na sociedade. Estes por vezes trabalham em conjunto, estabelecendo parcerias que visam o bem estar da sociedade. O tópico a seguir trata da conceituação e funcionamento das parcerias público-privadas.</w:t>
      </w:r>
    </w:p>
    <w:p w:rsidR="00FD62A0" w:rsidRPr="00FD62A0" w:rsidRDefault="00FD62A0" w:rsidP="00BF4427">
      <w:pPr>
        <w:spacing w:line="360" w:lineRule="auto"/>
        <w:jc w:val="both"/>
        <w:rPr>
          <w:rFonts w:ascii="Arial" w:hAnsi="Arial" w:cs="Arial"/>
          <w:b/>
          <w:sz w:val="22"/>
          <w:szCs w:val="22"/>
        </w:rPr>
      </w:pPr>
    </w:p>
    <w:p w:rsidR="001121B3" w:rsidRPr="00FD62A0" w:rsidRDefault="00026B3E" w:rsidP="00BF4427">
      <w:pPr>
        <w:spacing w:line="360" w:lineRule="auto"/>
        <w:jc w:val="both"/>
        <w:rPr>
          <w:rFonts w:ascii="Arial" w:hAnsi="Arial" w:cs="Arial"/>
          <w:b/>
          <w:sz w:val="22"/>
          <w:szCs w:val="22"/>
        </w:rPr>
      </w:pPr>
      <w:r w:rsidRPr="00FD62A0">
        <w:rPr>
          <w:rFonts w:ascii="Arial" w:hAnsi="Arial" w:cs="Arial"/>
          <w:b/>
          <w:sz w:val="22"/>
          <w:szCs w:val="22"/>
        </w:rPr>
        <w:t>1.3.</w:t>
      </w:r>
      <w:r w:rsidR="001121B3" w:rsidRPr="00FD62A0">
        <w:rPr>
          <w:rFonts w:ascii="Arial" w:hAnsi="Arial" w:cs="Arial"/>
          <w:b/>
          <w:sz w:val="22"/>
          <w:szCs w:val="22"/>
        </w:rPr>
        <w:t xml:space="preserve"> A administração pública brasileira – definição e evolução</w:t>
      </w:r>
    </w:p>
    <w:p w:rsidR="001121B3" w:rsidRPr="00FD62A0" w:rsidRDefault="001121B3" w:rsidP="00BF4427">
      <w:pPr>
        <w:spacing w:line="360" w:lineRule="auto"/>
        <w:jc w:val="both"/>
        <w:rPr>
          <w:rFonts w:ascii="Arial" w:hAnsi="Arial" w:cs="Arial"/>
          <w:sz w:val="22"/>
          <w:szCs w:val="22"/>
        </w:rPr>
      </w:pP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O conceito de administração pública está relacionado às atividades realizadas pelo Estado no sentido de assegurar os interesses coletivos da sociedade. Pode ser entendido ainda como o conjunto de órgãos que tiveram funções administrativas de Estado atribuídas por Lei.</w:t>
      </w:r>
    </w:p>
    <w:p w:rsidR="001121B3" w:rsidRPr="00FD62A0" w:rsidRDefault="001121B3" w:rsidP="00BF4427">
      <w:pPr>
        <w:spacing w:line="360" w:lineRule="auto"/>
        <w:ind w:firstLine="708"/>
        <w:jc w:val="both"/>
        <w:rPr>
          <w:rFonts w:ascii="Arial" w:hAnsi="Arial" w:cs="Courier New"/>
          <w:sz w:val="22"/>
          <w:szCs w:val="22"/>
        </w:rPr>
      </w:pPr>
      <w:r w:rsidRPr="00FD62A0">
        <w:rPr>
          <w:rFonts w:ascii="Arial" w:hAnsi="Arial" w:cs="Courier New"/>
          <w:sz w:val="22"/>
          <w:szCs w:val="22"/>
        </w:rPr>
        <w:t>Hely Lopes Meirelles apresenta definição mais completa para a administração pública, como segue.</w:t>
      </w:r>
    </w:p>
    <w:p w:rsidR="001121B3" w:rsidRPr="00FD62A0" w:rsidRDefault="001121B3" w:rsidP="00BF4427">
      <w:pPr>
        <w:spacing w:line="360" w:lineRule="auto"/>
        <w:ind w:left="709"/>
        <w:jc w:val="both"/>
        <w:rPr>
          <w:rFonts w:ascii="Arial" w:hAnsi="Arial" w:cs="Courier New"/>
          <w:sz w:val="20"/>
          <w:szCs w:val="20"/>
        </w:rPr>
      </w:pPr>
      <w:r w:rsidRPr="00FD62A0">
        <w:rPr>
          <w:rFonts w:ascii="Arial" w:hAnsi="Arial" w:cs="Courier New"/>
          <w:sz w:val="20"/>
          <w:szCs w:val="20"/>
        </w:rPr>
        <w:t xml:space="preserve">Em sentido formal, a </w:t>
      </w:r>
      <w:r w:rsidRPr="00FD62A0">
        <w:rPr>
          <w:rStyle w:val="hl"/>
          <w:rFonts w:ascii="Arial" w:hAnsi="Arial" w:cs="Courier New"/>
          <w:sz w:val="20"/>
          <w:szCs w:val="20"/>
        </w:rPr>
        <w:t>Administração</w:t>
      </w:r>
      <w:r w:rsidRPr="00FD62A0">
        <w:rPr>
          <w:rFonts w:ascii="Arial" w:hAnsi="Arial" w:cs="Courier New"/>
          <w:sz w:val="20"/>
          <w:szCs w:val="20"/>
        </w:rPr>
        <w:t xml:space="preserve"> </w:t>
      </w:r>
      <w:r w:rsidRPr="00FD62A0">
        <w:rPr>
          <w:rStyle w:val="hl"/>
          <w:rFonts w:ascii="Arial" w:hAnsi="Arial" w:cs="Courier New"/>
          <w:sz w:val="20"/>
          <w:szCs w:val="20"/>
        </w:rPr>
        <w:t>Pública</w:t>
      </w:r>
      <w:r w:rsidRPr="00FD62A0">
        <w:rPr>
          <w:rFonts w:ascii="Arial" w:hAnsi="Arial" w:cs="Courier New"/>
          <w:sz w:val="20"/>
          <w:szCs w:val="20"/>
        </w:rPr>
        <w:t xml:space="preserve">, é o conjunto de órgãos instituídos para consecução dos objetivos do Governo; em sentido material, é o conjunto das funções necessárias aos serviços públicos em geral; em acepção operacional, é o desempenho perene e sistemático, legal e técnico, dos serviços do próprio Estado ou por ele assumidos em benefício da coletividade. Numa visão global, a </w:t>
      </w:r>
      <w:r w:rsidRPr="00FD62A0">
        <w:rPr>
          <w:rStyle w:val="hl"/>
          <w:rFonts w:ascii="Arial" w:hAnsi="Arial" w:cs="Courier New"/>
          <w:sz w:val="20"/>
          <w:szCs w:val="20"/>
        </w:rPr>
        <w:t>Administração</w:t>
      </w:r>
      <w:r w:rsidRPr="00FD62A0">
        <w:rPr>
          <w:rFonts w:ascii="Arial" w:hAnsi="Arial" w:cs="Courier New"/>
          <w:sz w:val="20"/>
          <w:szCs w:val="20"/>
        </w:rPr>
        <w:t xml:space="preserve"> </w:t>
      </w:r>
      <w:r w:rsidRPr="00FD62A0">
        <w:rPr>
          <w:rStyle w:val="hl"/>
          <w:rFonts w:ascii="Arial" w:hAnsi="Arial" w:cs="Courier New"/>
          <w:sz w:val="20"/>
          <w:szCs w:val="20"/>
        </w:rPr>
        <w:t>Pública</w:t>
      </w:r>
      <w:r w:rsidRPr="00FD62A0">
        <w:rPr>
          <w:rFonts w:ascii="Arial" w:hAnsi="Arial" w:cs="Courier New"/>
          <w:sz w:val="20"/>
          <w:szCs w:val="20"/>
        </w:rPr>
        <w:t xml:space="preserve"> é, pois, todo o aparelhamento do Estado preordenado à realização de seus serviços, visando à satisfaç</w:t>
      </w:r>
      <w:r w:rsidR="00FD7F70" w:rsidRPr="00FD62A0">
        <w:rPr>
          <w:rFonts w:ascii="Arial" w:hAnsi="Arial" w:cs="Courier New"/>
          <w:sz w:val="20"/>
          <w:szCs w:val="20"/>
        </w:rPr>
        <w:t xml:space="preserve">ão das necessidades coletivas </w:t>
      </w:r>
      <w:r w:rsidRPr="00FD62A0">
        <w:rPr>
          <w:rFonts w:ascii="Arial" w:hAnsi="Arial" w:cs="Courier New"/>
          <w:sz w:val="20"/>
          <w:szCs w:val="20"/>
        </w:rPr>
        <w:t>(Meirelles, 1996)</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Após breve descrição da estrutura da Administração Pública Brasileira, torna-se possível tratar o tema das reformas ocorridas no país. De acordo com Bresser Pereira, o Brasil passa hoje pela terceira reforma administrativa. A primeira foi a reforma burocrática </w:t>
      </w:r>
      <w:r w:rsidRPr="00FD62A0">
        <w:rPr>
          <w:rFonts w:ascii="Arial" w:hAnsi="Arial" w:cs="Arial"/>
          <w:sz w:val="22"/>
          <w:szCs w:val="22"/>
        </w:rPr>
        <w:lastRenderedPageBreak/>
        <w:t xml:space="preserve">em </w:t>
      </w:r>
      <w:smartTag w:uri="urn:schemas-microsoft-com:office:smarttags" w:element="metricconverter">
        <w:smartTagPr>
          <w:attr w:name="ProductID" w:val="1936, a"/>
        </w:smartTagPr>
        <w:r w:rsidRPr="00FD62A0">
          <w:rPr>
            <w:rFonts w:ascii="Arial" w:hAnsi="Arial" w:cs="Arial"/>
            <w:sz w:val="22"/>
            <w:szCs w:val="22"/>
          </w:rPr>
          <w:t>1936, a</w:t>
        </w:r>
      </w:smartTag>
      <w:r w:rsidRPr="00FD62A0">
        <w:rPr>
          <w:rFonts w:ascii="Arial" w:hAnsi="Arial" w:cs="Arial"/>
          <w:sz w:val="22"/>
          <w:szCs w:val="22"/>
        </w:rPr>
        <w:t xml:space="preserve"> segunda em 1967 foi uma tentativa de descentralização e desburocratização e a atual é baseada na administração pública gerencial, ou seja, nos preceitos do New Public Managment e do New Public Service.</w:t>
      </w:r>
      <w:r w:rsidRPr="00FD62A0">
        <w:rPr>
          <w:rFonts w:ascii="Arial" w:hAnsi="Arial" w:cs="Arial"/>
          <w:sz w:val="22"/>
          <w:szCs w:val="22"/>
        </w:rPr>
        <w:tab/>
      </w:r>
    </w:p>
    <w:p w:rsidR="001121B3" w:rsidRPr="00FD62A0" w:rsidRDefault="001121B3" w:rsidP="00BF4427">
      <w:pPr>
        <w:tabs>
          <w:tab w:val="left" w:pos="0"/>
        </w:tabs>
        <w:spacing w:line="360" w:lineRule="auto"/>
        <w:jc w:val="both"/>
        <w:rPr>
          <w:rFonts w:ascii="Arial" w:hAnsi="Arial" w:cs="Arial"/>
          <w:sz w:val="22"/>
          <w:szCs w:val="22"/>
        </w:rPr>
      </w:pPr>
      <w:r w:rsidRPr="00FD62A0">
        <w:rPr>
          <w:rFonts w:ascii="Arial" w:hAnsi="Arial" w:cs="Arial"/>
          <w:sz w:val="22"/>
          <w:szCs w:val="22"/>
        </w:rPr>
        <w:tab/>
        <w:t xml:space="preserve">Sobre as reformas administrativas instituídas no Brasil, Bresser Pereira destaca que as origens da administração pública gerencial já contam desde a primeira reforma ocorrida na década de 1930, quando começava a ser delineada. Entre os primeiros sinais de mudança para a administração pública gerencial estava a criação da primeira autarquia, assim como a criação do Departamento Administrativo do Serviço Púbico – DASP. Já na década de 1960, pode-se dizer que os princípios da administração pública gerencial estiveram na base da segunda reforma. </w:t>
      </w:r>
      <w:r w:rsidR="00AA333C" w:rsidRPr="00FD62A0">
        <w:rPr>
          <w:rFonts w:ascii="Arial" w:hAnsi="Arial" w:cs="Arial"/>
          <w:sz w:val="22"/>
          <w:szCs w:val="22"/>
        </w:rPr>
        <w:t>(Bresser Pereira, 1998)</w:t>
      </w:r>
    </w:p>
    <w:p w:rsidR="001121B3" w:rsidRPr="00FD62A0" w:rsidRDefault="001121B3" w:rsidP="00BF4427">
      <w:pPr>
        <w:tabs>
          <w:tab w:val="left" w:pos="0"/>
        </w:tabs>
        <w:spacing w:line="360" w:lineRule="auto"/>
        <w:jc w:val="both"/>
        <w:rPr>
          <w:rFonts w:ascii="Arial" w:hAnsi="Arial" w:cs="Arial"/>
          <w:sz w:val="22"/>
          <w:szCs w:val="22"/>
        </w:rPr>
      </w:pPr>
      <w:r w:rsidRPr="00FD62A0">
        <w:rPr>
          <w:rFonts w:ascii="Arial" w:hAnsi="Arial" w:cs="Arial"/>
          <w:sz w:val="22"/>
          <w:szCs w:val="22"/>
        </w:rPr>
        <w:tab/>
        <w:t>Nesse contexto, desenvolvia-se a ideia de que os serviços públicos da administração indireta deveriam ser descentralizados e não seguir todas as burocracias da administração direta. É na década de 1960, entretanto, que se iniciam esforços mais efetivos no sentido de se instituir a reforma. E</w:t>
      </w:r>
      <w:r w:rsidR="002A1169" w:rsidRPr="00FD62A0">
        <w:rPr>
          <w:rFonts w:ascii="Arial" w:hAnsi="Arial" w:cs="Arial"/>
          <w:sz w:val="22"/>
          <w:szCs w:val="22"/>
        </w:rPr>
        <w:t>m 1967, é instituído o Decreto-lei</w:t>
      </w:r>
      <w:r w:rsidRPr="00FD62A0">
        <w:rPr>
          <w:rFonts w:ascii="Arial" w:hAnsi="Arial" w:cs="Arial"/>
          <w:sz w:val="22"/>
          <w:szCs w:val="22"/>
        </w:rPr>
        <w:t xml:space="preserve"> 200, que visava </w:t>
      </w:r>
      <w:r w:rsidR="001933E3">
        <w:rPr>
          <w:rFonts w:ascii="Arial" w:hAnsi="Arial" w:cs="Arial"/>
          <w:sz w:val="22"/>
          <w:szCs w:val="22"/>
        </w:rPr>
        <w:t>à</w:t>
      </w:r>
      <w:r w:rsidRPr="00FD62A0">
        <w:rPr>
          <w:rFonts w:ascii="Arial" w:hAnsi="Arial" w:cs="Arial"/>
          <w:sz w:val="22"/>
          <w:szCs w:val="22"/>
        </w:rPr>
        <w:t xml:space="preserve"> descentralização por meio da autonomia da administração indireta, ressaltando a maior eficiência encontrada na administração descentralizada.</w:t>
      </w:r>
      <w:r w:rsidR="00E43013" w:rsidRPr="00FD62A0">
        <w:rPr>
          <w:rFonts w:ascii="Arial" w:hAnsi="Arial" w:cs="Arial"/>
          <w:sz w:val="22"/>
          <w:szCs w:val="22"/>
        </w:rPr>
        <w:t xml:space="preserve"> (</w:t>
      </w:r>
      <w:r w:rsidR="00AA333C" w:rsidRPr="00FD62A0">
        <w:rPr>
          <w:rFonts w:ascii="Arial" w:hAnsi="Arial" w:cs="Arial"/>
          <w:sz w:val="22"/>
          <w:szCs w:val="22"/>
        </w:rPr>
        <w:t xml:space="preserve">Bresser </w:t>
      </w:r>
      <w:r w:rsidR="00E43013" w:rsidRPr="00FD62A0">
        <w:rPr>
          <w:rFonts w:ascii="Arial" w:hAnsi="Arial" w:cs="Arial"/>
          <w:sz w:val="22"/>
          <w:szCs w:val="22"/>
        </w:rPr>
        <w:t xml:space="preserve">Pereira, </w:t>
      </w:r>
      <w:r w:rsidR="00AA333C" w:rsidRPr="00FD62A0">
        <w:rPr>
          <w:rFonts w:ascii="Arial" w:hAnsi="Arial" w:cs="Arial"/>
          <w:sz w:val="22"/>
          <w:szCs w:val="22"/>
        </w:rPr>
        <w:t>1998)</w:t>
      </w:r>
    </w:p>
    <w:p w:rsidR="001121B3" w:rsidRPr="00FD62A0" w:rsidRDefault="001121B3" w:rsidP="00BF4427">
      <w:pPr>
        <w:tabs>
          <w:tab w:val="left" w:pos="0"/>
        </w:tabs>
        <w:spacing w:line="360" w:lineRule="auto"/>
        <w:jc w:val="both"/>
        <w:rPr>
          <w:rFonts w:ascii="Arial" w:hAnsi="Arial" w:cs="Arial"/>
          <w:sz w:val="22"/>
          <w:szCs w:val="22"/>
        </w:rPr>
      </w:pPr>
      <w:r w:rsidRPr="00FD62A0">
        <w:rPr>
          <w:rFonts w:ascii="Arial" w:hAnsi="Arial" w:cs="Arial"/>
          <w:sz w:val="22"/>
          <w:szCs w:val="22"/>
        </w:rPr>
        <w:tab/>
        <w:t xml:space="preserve">A respeito deste tema, Bertero afirma que </w:t>
      </w:r>
    </w:p>
    <w:p w:rsidR="001121B3" w:rsidRPr="00FD62A0" w:rsidRDefault="001121B3" w:rsidP="00BF4427">
      <w:pPr>
        <w:tabs>
          <w:tab w:val="left" w:pos="1134"/>
        </w:tabs>
        <w:spacing w:line="360" w:lineRule="auto"/>
        <w:ind w:left="709"/>
        <w:jc w:val="both"/>
        <w:rPr>
          <w:rFonts w:ascii="Arial" w:hAnsi="Arial" w:cs="Arial"/>
          <w:sz w:val="20"/>
          <w:szCs w:val="20"/>
        </w:rPr>
      </w:pPr>
      <w:r w:rsidRPr="00FD62A0">
        <w:rPr>
          <w:rFonts w:ascii="Arial" w:hAnsi="Arial" w:cs="Arial"/>
          <w:sz w:val="20"/>
          <w:szCs w:val="20"/>
        </w:rPr>
        <w:t>Subjacente à decisão de expandir a administração pública através da administração indireta, está o reconhecimento de que a administração direta não havia sido capaz de responder com agilidade, flexibilidade, presteza e criatividade às demandas e pressões de um Estado que se decidira desenvolvimentista. (Bertero, 1985)</w:t>
      </w:r>
    </w:p>
    <w:p w:rsidR="001121B3" w:rsidRPr="00FD62A0" w:rsidRDefault="001121B3" w:rsidP="00BF4427">
      <w:pPr>
        <w:tabs>
          <w:tab w:val="left" w:pos="0"/>
        </w:tabs>
        <w:spacing w:line="360" w:lineRule="auto"/>
        <w:jc w:val="both"/>
        <w:rPr>
          <w:rFonts w:ascii="Arial" w:hAnsi="Arial" w:cs="Arial"/>
          <w:sz w:val="22"/>
          <w:szCs w:val="22"/>
        </w:rPr>
      </w:pPr>
      <w:r w:rsidRPr="00FD62A0">
        <w:rPr>
          <w:rFonts w:ascii="Arial" w:hAnsi="Arial" w:cs="Arial"/>
          <w:sz w:val="22"/>
          <w:szCs w:val="22"/>
        </w:rPr>
        <w:tab/>
        <w:t xml:space="preserve">O </w:t>
      </w:r>
      <w:r w:rsidR="002A1169" w:rsidRPr="00FD62A0">
        <w:rPr>
          <w:rFonts w:ascii="Arial" w:hAnsi="Arial" w:cs="Arial"/>
          <w:sz w:val="22"/>
          <w:szCs w:val="22"/>
        </w:rPr>
        <w:t>Decreto-lei</w:t>
      </w:r>
      <w:r w:rsidRPr="00FD62A0">
        <w:rPr>
          <w:rFonts w:ascii="Arial" w:hAnsi="Arial" w:cs="Arial"/>
          <w:sz w:val="22"/>
          <w:szCs w:val="22"/>
        </w:rPr>
        <w:t xml:space="preserve"> nº 200, de 25 de fevereiro de 1967, estabelece diretrizes para a Administração Federal. Nele se estabelece que, respeitando as funções do poder legislativo, competirá ao poder executivo o funcionamento estruturação e atribuições dos órgãos da Administração Federal. Bresser Pereira ressalta que este </w:t>
      </w:r>
      <w:r w:rsidR="002A1169" w:rsidRPr="00FD62A0">
        <w:rPr>
          <w:rFonts w:ascii="Arial" w:hAnsi="Arial" w:cs="Arial"/>
          <w:sz w:val="22"/>
          <w:szCs w:val="22"/>
        </w:rPr>
        <w:t>Decreto-lei</w:t>
      </w:r>
      <w:r w:rsidRPr="00FD62A0">
        <w:rPr>
          <w:rFonts w:ascii="Arial" w:hAnsi="Arial" w:cs="Arial"/>
          <w:sz w:val="22"/>
          <w:szCs w:val="22"/>
        </w:rPr>
        <w:t xml:space="preserve"> estipulou a transferência de atividades, bens e serviços para as entidades de administração indireta, assim como instituiu como princípios da Administração Pública Brasileira o planejamento, o orçamento, a descentralização e o controle de resultados. De acordo com este </w:t>
      </w:r>
      <w:r w:rsidR="002A1169" w:rsidRPr="00FD62A0">
        <w:rPr>
          <w:rFonts w:ascii="Arial" w:hAnsi="Arial" w:cs="Arial"/>
          <w:sz w:val="22"/>
          <w:szCs w:val="22"/>
        </w:rPr>
        <w:t>Decreto-lei</w:t>
      </w:r>
      <w:r w:rsidRPr="00FD62A0">
        <w:rPr>
          <w:rFonts w:ascii="Arial" w:hAnsi="Arial" w:cs="Arial"/>
          <w:sz w:val="22"/>
          <w:szCs w:val="22"/>
        </w:rPr>
        <w:t xml:space="preserve">, a divisão da Administração </w:t>
      </w:r>
      <w:smartTag w:uri="urn:schemas-microsoft-com:office:smarttags" w:element="PersonName">
        <w:smartTagPr>
          <w:attr w:name="ProductID" w:val="em Administra￧￣o Direta"/>
        </w:smartTagPr>
        <w:r w:rsidRPr="00FD62A0">
          <w:rPr>
            <w:rFonts w:ascii="Arial" w:hAnsi="Arial" w:cs="Arial"/>
            <w:sz w:val="22"/>
            <w:szCs w:val="22"/>
          </w:rPr>
          <w:t>em Administração Direta</w:t>
        </w:r>
      </w:smartTag>
      <w:r w:rsidRPr="00FD62A0">
        <w:rPr>
          <w:rFonts w:ascii="Arial" w:hAnsi="Arial" w:cs="Arial"/>
          <w:sz w:val="22"/>
          <w:szCs w:val="22"/>
        </w:rPr>
        <w:t xml:space="preserve"> e Administração Indireta, </w:t>
      </w:r>
      <w:r w:rsidR="004C12EC" w:rsidRPr="00FD62A0">
        <w:rPr>
          <w:rFonts w:ascii="Arial" w:hAnsi="Arial" w:cs="Arial"/>
          <w:sz w:val="22"/>
          <w:szCs w:val="22"/>
        </w:rPr>
        <w:t>ocorre</w:t>
      </w:r>
      <w:r w:rsidRPr="00FD62A0">
        <w:rPr>
          <w:rFonts w:ascii="Arial" w:hAnsi="Arial" w:cs="Arial"/>
          <w:sz w:val="22"/>
          <w:szCs w:val="22"/>
        </w:rPr>
        <w:t xml:space="preserve"> da seguinte forma:</w:t>
      </w:r>
    </w:p>
    <w:p w:rsidR="001121B3" w:rsidRPr="00FD62A0" w:rsidRDefault="001121B3" w:rsidP="00BF4427">
      <w:pPr>
        <w:pStyle w:val="NormalWeb"/>
        <w:spacing w:before="0" w:beforeAutospacing="0" w:after="0" w:afterAutospacing="0" w:line="360" w:lineRule="auto"/>
        <w:ind w:left="709"/>
        <w:jc w:val="both"/>
        <w:rPr>
          <w:rFonts w:ascii="Arial" w:hAnsi="Arial" w:cs="Arial"/>
          <w:sz w:val="22"/>
          <w:szCs w:val="22"/>
        </w:rPr>
      </w:pPr>
      <w:r w:rsidRPr="00FD62A0">
        <w:rPr>
          <w:rFonts w:ascii="Arial" w:hAnsi="Arial" w:cs="Arial"/>
          <w:sz w:val="22"/>
          <w:szCs w:val="22"/>
        </w:rPr>
        <w:t>A Administração Direta, que se constitui dos serviços integrados na estrutura administrativa da Presidência da República e dos Ministérios.</w:t>
      </w:r>
    </w:p>
    <w:p w:rsidR="001121B3" w:rsidRPr="00FD62A0" w:rsidRDefault="001121B3" w:rsidP="00BF4427">
      <w:pPr>
        <w:pStyle w:val="NormalWeb"/>
        <w:spacing w:before="0" w:beforeAutospacing="0" w:after="0" w:afterAutospacing="0" w:line="360" w:lineRule="auto"/>
        <w:ind w:left="709"/>
        <w:jc w:val="both"/>
        <w:rPr>
          <w:rFonts w:ascii="Arial" w:hAnsi="Arial" w:cs="Arial"/>
          <w:sz w:val="22"/>
          <w:szCs w:val="22"/>
        </w:rPr>
      </w:pPr>
      <w:r w:rsidRPr="00FD62A0">
        <w:rPr>
          <w:rFonts w:ascii="Arial" w:hAnsi="Arial" w:cs="Arial"/>
          <w:sz w:val="22"/>
          <w:szCs w:val="22"/>
        </w:rPr>
        <w:t>A Administração Indireta, que compreende as seguintes categorias de entidades, dotadas de personalidade jurídica própria:</w:t>
      </w:r>
    </w:p>
    <w:p w:rsidR="001121B3" w:rsidRPr="00FD62A0" w:rsidRDefault="001121B3" w:rsidP="00BF4427">
      <w:pPr>
        <w:pStyle w:val="NormalWeb"/>
        <w:spacing w:before="0" w:beforeAutospacing="0" w:after="0" w:afterAutospacing="0" w:line="360" w:lineRule="auto"/>
        <w:ind w:left="709"/>
        <w:jc w:val="both"/>
        <w:rPr>
          <w:rFonts w:ascii="Arial" w:hAnsi="Arial" w:cs="Arial"/>
          <w:sz w:val="22"/>
          <w:szCs w:val="22"/>
        </w:rPr>
      </w:pPr>
      <w:r w:rsidRPr="00FD62A0">
        <w:rPr>
          <w:rFonts w:ascii="Arial" w:hAnsi="Arial" w:cs="Arial"/>
          <w:sz w:val="22"/>
          <w:szCs w:val="22"/>
        </w:rPr>
        <w:t>a) Autarquias;</w:t>
      </w:r>
    </w:p>
    <w:p w:rsidR="001121B3" w:rsidRPr="00FD62A0" w:rsidRDefault="001121B3" w:rsidP="00BF4427">
      <w:pPr>
        <w:pStyle w:val="NormalWeb"/>
        <w:spacing w:before="0" w:beforeAutospacing="0" w:after="0" w:afterAutospacing="0" w:line="360" w:lineRule="auto"/>
        <w:ind w:left="709"/>
        <w:jc w:val="both"/>
        <w:rPr>
          <w:rFonts w:ascii="Arial" w:hAnsi="Arial" w:cs="Arial"/>
          <w:sz w:val="22"/>
          <w:szCs w:val="22"/>
        </w:rPr>
      </w:pPr>
      <w:r w:rsidRPr="00FD62A0">
        <w:rPr>
          <w:rFonts w:ascii="Arial" w:hAnsi="Arial" w:cs="Arial"/>
          <w:sz w:val="22"/>
          <w:szCs w:val="22"/>
        </w:rPr>
        <w:t>b) Empresas Públicas;</w:t>
      </w:r>
    </w:p>
    <w:p w:rsidR="001121B3" w:rsidRPr="00FD62A0" w:rsidRDefault="001121B3" w:rsidP="00BF4427">
      <w:pPr>
        <w:pStyle w:val="NormalWeb"/>
        <w:spacing w:before="0" w:beforeAutospacing="0" w:after="0" w:afterAutospacing="0" w:line="360" w:lineRule="auto"/>
        <w:ind w:left="709"/>
        <w:jc w:val="both"/>
        <w:rPr>
          <w:rFonts w:ascii="Arial" w:hAnsi="Arial" w:cs="Arial"/>
          <w:sz w:val="22"/>
          <w:szCs w:val="22"/>
        </w:rPr>
      </w:pPr>
      <w:r w:rsidRPr="00FD62A0">
        <w:rPr>
          <w:rFonts w:ascii="Arial" w:hAnsi="Arial" w:cs="Arial"/>
          <w:sz w:val="22"/>
          <w:szCs w:val="22"/>
        </w:rPr>
        <w:t>c) Sociedades de Economia Mista;</w:t>
      </w:r>
    </w:p>
    <w:p w:rsidR="001121B3" w:rsidRPr="00FD62A0" w:rsidRDefault="001121B3" w:rsidP="00BF4427">
      <w:pPr>
        <w:pStyle w:val="NormalWeb"/>
        <w:spacing w:before="0" w:beforeAutospacing="0" w:after="0" w:afterAutospacing="0" w:line="360" w:lineRule="auto"/>
        <w:ind w:left="709"/>
        <w:jc w:val="both"/>
        <w:rPr>
          <w:rFonts w:ascii="Arial" w:hAnsi="Arial" w:cs="Arial"/>
          <w:sz w:val="22"/>
          <w:szCs w:val="22"/>
        </w:rPr>
      </w:pPr>
      <w:bookmarkStart w:id="0" w:name="art4iid"/>
      <w:bookmarkEnd w:id="0"/>
      <w:r w:rsidRPr="00FD62A0">
        <w:rPr>
          <w:rFonts w:ascii="Arial" w:hAnsi="Arial" w:cs="Arial"/>
          <w:sz w:val="22"/>
          <w:szCs w:val="22"/>
        </w:rPr>
        <w:lastRenderedPageBreak/>
        <w:t>d) fundações públicas (acrescida pela Lei nº 7.596 de 1987).</w:t>
      </w:r>
    </w:p>
    <w:p w:rsidR="001121B3" w:rsidRPr="00FD62A0" w:rsidRDefault="00087727" w:rsidP="00BF4427">
      <w:pPr>
        <w:tabs>
          <w:tab w:val="left" w:pos="0"/>
        </w:tabs>
        <w:spacing w:line="360" w:lineRule="auto"/>
        <w:ind w:left="709"/>
        <w:rPr>
          <w:rFonts w:ascii="Arial" w:hAnsi="Arial" w:cs="Arial"/>
          <w:sz w:val="22"/>
          <w:szCs w:val="22"/>
        </w:rPr>
      </w:pPr>
      <w:r w:rsidRPr="00FD62A0">
        <w:rPr>
          <w:rFonts w:ascii="Arial" w:hAnsi="Arial" w:cs="Arial"/>
          <w:sz w:val="22"/>
          <w:szCs w:val="22"/>
        </w:rPr>
        <w:tab/>
      </w:r>
      <w:r w:rsidRPr="00FD62A0">
        <w:rPr>
          <w:rFonts w:ascii="Arial" w:hAnsi="Arial" w:cs="Arial"/>
          <w:sz w:val="22"/>
          <w:szCs w:val="22"/>
        </w:rPr>
        <w:tab/>
      </w:r>
      <w:r w:rsidR="004C12EC" w:rsidRPr="00FD62A0">
        <w:rPr>
          <w:rFonts w:ascii="Arial" w:hAnsi="Arial" w:cs="Arial"/>
          <w:sz w:val="22"/>
          <w:szCs w:val="22"/>
        </w:rPr>
        <w:t>(Casa Civil, 2007)</w:t>
      </w:r>
    </w:p>
    <w:p w:rsidR="00FA699E" w:rsidRPr="00FD62A0" w:rsidRDefault="001121B3" w:rsidP="00BF4427">
      <w:pPr>
        <w:tabs>
          <w:tab w:val="left" w:pos="0"/>
        </w:tabs>
        <w:spacing w:line="360" w:lineRule="auto"/>
        <w:jc w:val="both"/>
        <w:rPr>
          <w:rFonts w:ascii="Arial" w:hAnsi="Arial" w:cs="Arial"/>
          <w:sz w:val="22"/>
          <w:szCs w:val="22"/>
        </w:rPr>
      </w:pPr>
      <w:r w:rsidRPr="00FD62A0">
        <w:rPr>
          <w:rFonts w:ascii="Arial" w:hAnsi="Arial" w:cs="Arial"/>
          <w:sz w:val="22"/>
          <w:szCs w:val="22"/>
        </w:rPr>
        <w:tab/>
        <w:t xml:space="preserve">Por Administração Direta, entende-se que é a prestação de serviços públicos pela pessoa política por meio de órgãos integrados em sua estrutura, ou seja, órgãos ligados diretamente ao poder central, federal, estadual ou municipal. Neste tipo de administração, a competência para a prestação dos serviços é distribuída entre os órgãos que integram a organização pública. Entre suas características destaca-se que não possui personalidade jurídica – ou seja, não contrai direitos ou assume obrigações – assim como não possui patrimônio ou autonomia administrativa. Como exemplos de órgãos que a integram, pode-se citar os Ministérios, as Secretarias, os Departamentos, entre outros, ressaltando que existe hierarquia entre eles. </w:t>
      </w:r>
      <w:r w:rsidR="00FA699E" w:rsidRPr="00FD62A0">
        <w:rPr>
          <w:rFonts w:ascii="Arial" w:hAnsi="Arial" w:cs="Arial"/>
          <w:sz w:val="22"/>
          <w:szCs w:val="22"/>
        </w:rPr>
        <w:t>(Casa Civil, 2007)</w:t>
      </w:r>
    </w:p>
    <w:p w:rsidR="00FA699E" w:rsidRPr="00FD62A0" w:rsidRDefault="001121B3" w:rsidP="00BF4427">
      <w:pPr>
        <w:tabs>
          <w:tab w:val="left" w:pos="0"/>
        </w:tabs>
        <w:spacing w:line="360" w:lineRule="auto"/>
        <w:jc w:val="both"/>
        <w:rPr>
          <w:rFonts w:ascii="Arial" w:hAnsi="Arial" w:cs="Arial"/>
          <w:sz w:val="22"/>
          <w:szCs w:val="22"/>
        </w:rPr>
      </w:pPr>
      <w:r w:rsidRPr="00FD62A0">
        <w:rPr>
          <w:rFonts w:ascii="Arial" w:hAnsi="Arial" w:cs="Arial"/>
          <w:sz w:val="22"/>
          <w:szCs w:val="22"/>
        </w:rPr>
        <w:tab/>
        <w:t>A Administração Indireta</w:t>
      </w:r>
      <w:r w:rsidR="001933E3">
        <w:rPr>
          <w:rFonts w:ascii="Arial" w:hAnsi="Arial" w:cs="Arial"/>
          <w:sz w:val="22"/>
          <w:szCs w:val="22"/>
        </w:rPr>
        <w:t xml:space="preserve"> </w:t>
      </w:r>
      <w:r w:rsidRPr="00FD62A0">
        <w:rPr>
          <w:rFonts w:ascii="Arial" w:hAnsi="Arial" w:cs="Arial"/>
          <w:sz w:val="22"/>
          <w:szCs w:val="22"/>
        </w:rPr>
        <w:t>é o conjunto de entes com personalidade jurídica própria, que vinculados a órgãos da administração direta prestam serviços de interesse para a coletividade. De uma forma mais simples, pode-se dizer que é baseada na distribuição de competências de uma pessoa a outra. Entre os entes que integram a administração indireta, estão as autarquias, as empresas públicas, as sociedades de economia mista e as fundações, que possuem personalidade jurídica, autonomia administrativa e patrimônio próprios, estando apenas vinculados aos órgãos da administração direta. Diferem ainda da administração direta pelo fato de não possuírem hierarquia</w:t>
      </w:r>
      <w:r w:rsidR="00424B86" w:rsidRPr="00FD62A0">
        <w:rPr>
          <w:rFonts w:ascii="Arial" w:hAnsi="Arial" w:cs="Arial"/>
          <w:sz w:val="22"/>
          <w:szCs w:val="22"/>
        </w:rPr>
        <w:t xml:space="preserve">. </w:t>
      </w:r>
      <w:r w:rsidR="00FA699E" w:rsidRPr="00FD62A0">
        <w:rPr>
          <w:rFonts w:ascii="Arial" w:hAnsi="Arial" w:cs="Arial"/>
          <w:sz w:val="22"/>
          <w:szCs w:val="22"/>
        </w:rPr>
        <w:t>(Casa Civil, 2007)</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r>
      <w:r w:rsidR="003D5D32" w:rsidRPr="00FD62A0">
        <w:rPr>
          <w:rFonts w:ascii="Arial" w:hAnsi="Arial" w:cs="Arial"/>
          <w:sz w:val="22"/>
          <w:szCs w:val="22"/>
        </w:rPr>
        <w:t xml:space="preserve">Agências Reguladoras e Agências Executivas </w:t>
      </w:r>
      <w:r w:rsidR="003D5D32">
        <w:rPr>
          <w:rFonts w:ascii="Arial" w:hAnsi="Arial" w:cs="Arial"/>
          <w:sz w:val="22"/>
          <w:szCs w:val="22"/>
        </w:rPr>
        <w:t>constituem a</w:t>
      </w:r>
      <w:r w:rsidRPr="00FD62A0">
        <w:rPr>
          <w:rFonts w:ascii="Arial" w:hAnsi="Arial" w:cs="Arial"/>
          <w:sz w:val="22"/>
          <w:szCs w:val="22"/>
        </w:rPr>
        <w:t xml:space="preserve"> Administração Indireta. As Agências Reguladoras tem por finalidade a regulação, organização e fiscalização de serviços públicos prestados por concessionárias ou permissionárias, a fim de garantir que a população vá receber um serviço público de qualidade. As Agências Executivas são compostas por pessoas jurídicas ou órgãos públicos que podem celebrar contrato de gestão para aperfeiçoar a prestação de serviços públicos. Seu foco principal é a execução de atividades administrativas.</w:t>
      </w:r>
      <w:r w:rsidR="00B50403" w:rsidRPr="00FD62A0">
        <w:rPr>
          <w:rFonts w:ascii="Arial" w:hAnsi="Arial" w:cs="Arial"/>
          <w:sz w:val="22"/>
          <w:szCs w:val="22"/>
        </w:rPr>
        <w:t xml:space="preserve"> (Casa Civil, 2007)</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Apesar de ter instituído importantes reformas na Administração Pública, o </w:t>
      </w:r>
      <w:r w:rsidR="002A1169" w:rsidRPr="00FD62A0">
        <w:rPr>
          <w:rFonts w:ascii="Arial" w:hAnsi="Arial" w:cs="Arial"/>
          <w:sz w:val="22"/>
          <w:szCs w:val="22"/>
        </w:rPr>
        <w:t>Decreto-lei</w:t>
      </w:r>
      <w:r w:rsidRPr="00FD62A0">
        <w:rPr>
          <w:rFonts w:ascii="Arial" w:hAnsi="Arial" w:cs="Arial"/>
          <w:sz w:val="22"/>
          <w:szCs w:val="22"/>
        </w:rPr>
        <w:t xml:space="preserve"> falhou no sentido de que estimulou a contratação de funcionários sem concurso público – o que favorecia práticas patrimonialistas, e afastou a administração pública da administração direta, promovendo assim o enfraquecimento do núcleo estratégico do Estado. Acrescido a isso a crise do regime militar ocorrida na década de 1970, verifica-se a degeneração dos princípios estabelecidos até então, possibilitando assim o retrocesso que estava por vir.</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Com a transição democrática de 1985, o governo buscou retomar o modelo burocrático da década de 1930. O período era marcado por uma forte crise fiscal, onde ressaltava-se a necessidade de o Estado ser interveniente na economia e na política. De acordo com Bresser Pereira, as medidas tomadas pelo governo na tentativa de superar a </w:t>
      </w:r>
      <w:r w:rsidRPr="00FD62A0">
        <w:rPr>
          <w:rFonts w:ascii="Arial" w:hAnsi="Arial" w:cs="Arial"/>
          <w:sz w:val="22"/>
          <w:szCs w:val="22"/>
        </w:rPr>
        <w:lastRenderedPageBreak/>
        <w:t>crise foram equivocadas, tendo como consequência a falta de apoio da sociedade. Em decorrência destes fatos, com a Constituição de 1988 se observa um retorno ao modelo administrativo que preza pela administração burocrática, centralizada, hierárquica e rígida, priorizando o modelo de administração direta em detrimento da indireta.</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Na década de 1990, o governo adotou as reformas que vinham sendo baseadas no enxugamento da estrutura estatal, demitindo funcionários e eliminando órgãos. Entretanto, de acordo com Bresser-Pereira, a forma como se interferiu na economia acabou por desestabilizar a estrutura burocrática nacional. A partir de 1994, o Estado busca empreender reforma para fortalecer a administração pública direta, assim como torná-la descentralizada. (Bresser Pereira, 1998)</w:t>
      </w:r>
      <w:r w:rsidR="009C557D" w:rsidRPr="00FD62A0">
        <w:rPr>
          <w:rFonts w:ascii="Arial" w:hAnsi="Arial" w:cs="Arial"/>
          <w:sz w:val="22"/>
          <w:szCs w:val="22"/>
        </w:rPr>
        <w:t>.</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De acordo com José Matias, a reforma empreendida no Brasil na década de 1990, visava reestruturar a estrutura social substituindo o modelo burocrático vigente por um novo modelo de administração gerencial. Estimulado pelo New Public Management o governo buscou introduzir ferramentas da administração privada no intuito de aumentar a eficiência estatal. A inspiração do New Public management no Brasil levou à criação de um novo modelo conhecido como “administração gerencial”. (Pereira, 2008)</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Nas palavras de Bresser-Pereira, a nova proposta </w:t>
      </w:r>
    </w:p>
    <w:p w:rsidR="001121B3" w:rsidRPr="00FD62A0" w:rsidRDefault="001121B3" w:rsidP="00BF4427">
      <w:pPr>
        <w:spacing w:line="360" w:lineRule="auto"/>
        <w:ind w:left="709"/>
        <w:jc w:val="both"/>
        <w:rPr>
          <w:rFonts w:ascii="Arial" w:hAnsi="Arial" w:cs="Arial"/>
          <w:sz w:val="20"/>
          <w:szCs w:val="20"/>
        </w:rPr>
      </w:pPr>
      <w:r w:rsidRPr="00FD62A0">
        <w:rPr>
          <w:rFonts w:ascii="Arial" w:hAnsi="Arial" w:cs="Arial"/>
          <w:sz w:val="20"/>
          <w:szCs w:val="20"/>
        </w:rPr>
        <w:t>não é a de continuar no processo cíclico que caracterizou a administração pública brasileira alternando períodos de centralização e de descentralização, mas a de, ao mesmo tempo, fortalecer a competência administrativa do centro e a autonomia das agências e das organizações sociais. O elo de ligação entre os dois sistemas será o contrato de gestão, que o núcleo estratégico deverá aprender a definir e controlar, e as agências e organizações a executar. (Bresser Pereira, 1998)</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Conhecendo-se a administração pública brasileira, assim como as reformas empreendidas, convém ressaltar que por vezes a máquina pública precisa contar com o apoio financeiro e executivo de instituições privadas no intuito de assegurar o bem-estar da população. Entretanto, tal apoio não ocorre de maneira unipolar, ou seja, não é apenas a instituição privada que faz concessões sem receber nada em troca. É neste contexto que se desenvolve o conceito de parcerias entre o setor público e o setor privado, conforme observa-se no tópico a seguir.</w:t>
      </w:r>
    </w:p>
    <w:p w:rsidR="00261FA6" w:rsidRPr="00FD62A0" w:rsidRDefault="00261FA6" w:rsidP="00BF4427">
      <w:pPr>
        <w:spacing w:line="360" w:lineRule="auto"/>
        <w:ind w:firstLine="708"/>
        <w:jc w:val="both"/>
        <w:rPr>
          <w:rFonts w:ascii="Arial" w:hAnsi="Arial" w:cs="Arial"/>
          <w:sz w:val="22"/>
          <w:szCs w:val="22"/>
        </w:rPr>
      </w:pPr>
    </w:p>
    <w:p w:rsidR="001121B3" w:rsidRPr="00FD62A0" w:rsidRDefault="00026B3E" w:rsidP="00BF4427">
      <w:pPr>
        <w:spacing w:line="360" w:lineRule="auto"/>
        <w:jc w:val="both"/>
        <w:rPr>
          <w:rFonts w:ascii="Arial" w:hAnsi="Arial" w:cs="Arial"/>
          <w:b/>
          <w:sz w:val="22"/>
          <w:szCs w:val="22"/>
        </w:rPr>
      </w:pPr>
      <w:r w:rsidRPr="00FD62A0">
        <w:rPr>
          <w:rFonts w:ascii="Arial" w:hAnsi="Arial" w:cs="Arial"/>
          <w:b/>
          <w:sz w:val="22"/>
          <w:szCs w:val="22"/>
        </w:rPr>
        <w:t>1.4.</w:t>
      </w:r>
      <w:r w:rsidR="001121B3" w:rsidRPr="00FD62A0">
        <w:rPr>
          <w:rFonts w:ascii="Arial" w:hAnsi="Arial" w:cs="Arial"/>
          <w:b/>
          <w:sz w:val="22"/>
          <w:szCs w:val="22"/>
        </w:rPr>
        <w:t xml:space="preserve"> Parceria entre os setores público e privado – história e conceitos</w:t>
      </w:r>
    </w:p>
    <w:p w:rsidR="001121B3" w:rsidRPr="00FD62A0" w:rsidRDefault="001121B3" w:rsidP="00BF4427">
      <w:pPr>
        <w:spacing w:line="360" w:lineRule="auto"/>
        <w:jc w:val="both"/>
        <w:rPr>
          <w:rFonts w:ascii="Arial" w:hAnsi="Arial" w:cs="Arial"/>
          <w:sz w:val="22"/>
          <w:szCs w:val="22"/>
        </w:rPr>
      </w:pP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 xml:space="preserve">As décadas de 1980 e 1990 foram marcadas por transformações econômicas em vários países. A origem destas mudanças está associada em grande parte à crise econômica da década de 1970, conhecida como década perdida. Neste cenário, foram instituídas diversas reformas na tentativa de superar a crise econômica e a recessão. De forma ampla, as </w:t>
      </w:r>
      <w:r w:rsidRPr="00FD62A0">
        <w:rPr>
          <w:rFonts w:ascii="Arial" w:hAnsi="Arial" w:cs="Arial"/>
          <w:sz w:val="22"/>
          <w:szCs w:val="22"/>
        </w:rPr>
        <w:lastRenderedPageBreak/>
        <w:t>mudanças estabelecidas seguiam as diretrizes propostas pelo Consenso de Washington. Entre elas, definia-se que os Estados deveriam aumentar as taxas de juros, reduzir os gastos públicos, diminuir a taxação sobre Investimento Estrangeiro Direto desregulamentando seu ingresso, a privatização de estatais, entre outras medidas.</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Entretanto, cada país seguia esses princípios de maneira própria, havendo diferenças significativas entre eles. Toda a conjuntura internacional de crise apontava para a direção da recessão e consequente corte de gastos nas administrações nacionais. (Faria, 2002)</w:t>
      </w:r>
      <w:r w:rsidR="00AF3EDC">
        <w:rPr>
          <w:rFonts w:ascii="Arial" w:hAnsi="Arial" w:cs="Arial"/>
          <w:sz w:val="22"/>
          <w:szCs w:val="22"/>
        </w:rPr>
        <w:t>.</w:t>
      </w:r>
      <w:r w:rsidRPr="00FD62A0">
        <w:rPr>
          <w:rFonts w:ascii="Arial" w:hAnsi="Arial" w:cs="Arial"/>
          <w:sz w:val="22"/>
          <w:szCs w:val="22"/>
        </w:rPr>
        <w:t xml:space="preserve"> De acordo com Faria, as políticas de nacionalização europeias e as políticas de regulação americanas foram paulatinamente revistas, cedendo espaço para as privatizações e a desregulamentação especificamente na Europa e nos Estados Unidos. Segundo o autor, a partir deste processo se observa mudança decisiva na forma como o setor público provê bens e serviços públicos. (Faria, 2002)</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A partir da crise do Estado de Bem-Estar Social, e da constante redução de recursos públicos usados na implementação de políticas públicas surgem alternativas à necessidade governamental de prover a sociedade. Parceiros privados passam a atuar em áreas mal exploradas pela administração pública ora devido à ineficiência ora à falta de recursos governamentais. Nesse sentido, destacam-se iniciativas como desestatizações, privatizações e terceirizações. É dentro deste contexto que se desenvolve o conceito de parcerias público-privadas.</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As parcerias entre os setores público e privado ocorrem devido à necessidade governamental de assegurar o bem-estar da população. Dessa forma</w:t>
      </w:r>
      <w:r w:rsidRPr="00FD62A0">
        <w:rPr>
          <w:rFonts w:ascii="Arial" w:hAnsi="Arial" w:cs="Arial"/>
          <w:b/>
          <w:sz w:val="22"/>
          <w:szCs w:val="22"/>
        </w:rPr>
        <w:t xml:space="preserve"> </w:t>
      </w:r>
      <w:r w:rsidRPr="00FD62A0">
        <w:rPr>
          <w:rFonts w:ascii="Arial" w:hAnsi="Arial" w:cs="Arial"/>
          <w:sz w:val="22"/>
          <w:szCs w:val="22"/>
        </w:rPr>
        <w:t xml:space="preserve">em alguns momentos o Estado necessita de destinar parte maior de seus recursos para áreas específicas da administração, em detrimento de outras, que ficam necessitadas. É neste espaço deixado pela administração pública que entram os atores privados atuando em projetos que visem suprir necessidades da sociedade não satisfeitas pelo setor público. (Faria, 2002) No cenário internacional, o conceito de parcerias público-privadas é amplo uma vez que aborda as concessões de modo geral, as privatizações, e as </w:t>
      </w:r>
      <w:r w:rsidRPr="00FD62A0">
        <w:rPr>
          <w:rFonts w:ascii="Arial" w:hAnsi="Arial" w:cs="Arial"/>
          <w:i/>
          <w:sz w:val="22"/>
          <w:szCs w:val="22"/>
        </w:rPr>
        <w:t>joint ventures</w:t>
      </w:r>
      <w:r w:rsidRPr="00FD62A0">
        <w:rPr>
          <w:rFonts w:ascii="Arial" w:hAnsi="Arial" w:cs="Arial"/>
          <w:sz w:val="22"/>
          <w:szCs w:val="22"/>
        </w:rPr>
        <w:t>, diferentemente do conceito apresentado na legislação brasileira.</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Embora não haja conceito definido internacionalmente acerca das parcerias público-privadas, a Comissão Europeia estabelece que estas</w:t>
      </w:r>
    </w:p>
    <w:p w:rsidR="001121B3" w:rsidRPr="00FD62A0" w:rsidRDefault="001121B3" w:rsidP="00BF4427">
      <w:pPr>
        <w:spacing w:line="360" w:lineRule="auto"/>
        <w:ind w:left="709"/>
        <w:jc w:val="both"/>
        <w:rPr>
          <w:rFonts w:ascii="Arial" w:hAnsi="Arial" w:cs="Arial"/>
          <w:sz w:val="20"/>
          <w:szCs w:val="20"/>
        </w:rPr>
      </w:pPr>
      <w:r w:rsidRPr="00FD62A0">
        <w:rPr>
          <w:rFonts w:ascii="Arial" w:hAnsi="Arial" w:cs="Arial"/>
          <w:sz w:val="20"/>
          <w:szCs w:val="20"/>
        </w:rPr>
        <w:t>Se referem, em geral, a formas de cooperação entre as autoridades públicas e as empresas, tendo por objetivo assegurar o financiamento, a construção, a renovação, a gestão ou a manutenção de uma infra-estrutura ou a prestação de um serviço. (Comissão Europeia, 2004)</w:t>
      </w:r>
    </w:p>
    <w:p w:rsidR="001121B3"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Assim, pode-se dizer que por parceria público-privada, entende-se aquela onde o parceiro privado propõe, financia, executa e mantém determinado projeto. A contrapartida do parceiro público é a remuneração periódica vinculada ao desempenho do projeto. As </w:t>
      </w:r>
      <w:r w:rsidRPr="00FD62A0">
        <w:rPr>
          <w:rFonts w:ascii="Arial" w:hAnsi="Arial" w:cs="Arial"/>
          <w:sz w:val="22"/>
          <w:szCs w:val="22"/>
        </w:rPr>
        <w:lastRenderedPageBreak/>
        <w:t>parcerias em geral são voltadas a projetos de infra-estrutura, mas podem também ser focados em áreas sociais. Para o parceiro público tal recurso é válido</w:t>
      </w:r>
      <w:r w:rsidR="00A140A5">
        <w:rPr>
          <w:rFonts w:ascii="Arial" w:hAnsi="Arial" w:cs="Arial"/>
          <w:sz w:val="22"/>
          <w:szCs w:val="22"/>
        </w:rPr>
        <w:t>,</w:t>
      </w:r>
      <w:r w:rsidRPr="00FD62A0">
        <w:rPr>
          <w:rFonts w:ascii="Arial" w:hAnsi="Arial" w:cs="Arial"/>
          <w:sz w:val="22"/>
          <w:szCs w:val="22"/>
        </w:rPr>
        <w:t xml:space="preserve"> pois não exige a disponibilização de grandes montantes de recursos de forma imediata para a consolidação dos projetos, assim como permite a repartição dos riscos, uma vez que o parceiro privado também pode ser responsabilizado em caso de não cumprimento em relação ao projeto. Para o ator privado, a parceria junto ao setor público funciona como forma de investimento.</w:t>
      </w:r>
    </w:p>
    <w:p w:rsidR="005C7A61" w:rsidRPr="00FD62A0" w:rsidRDefault="005C7A61" w:rsidP="00BF4427">
      <w:pPr>
        <w:spacing w:line="360" w:lineRule="auto"/>
        <w:ind w:firstLine="708"/>
        <w:jc w:val="both"/>
        <w:rPr>
          <w:rFonts w:ascii="Arial" w:hAnsi="Arial" w:cs="Arial"/>
          <w:sz w:val="22"/>
          <w:szCs w:val="22"/>
        </w:rPr>
      </w:pPr>
      <w:r>
        <w:rPr>
          <w:rFonts w:ascii="Arial" w:hAnsi="Arial" w:cs="Arial"/>
          <w:sz w:val="22"/>
          <w:szCs w:val="22"/>
        </w:rPr>
        <w:t>Em resumo, os projetos de parceria são aqueles em que os setores público e privado atuam em conjunto, em busca de um objetivo comum. Há a transferência de renda, divisão de responsabilidades. Sua associação à terceirização à privatização ocorre, pois todos estes processos são referentes à abertura governamental ao setor privado. Entretanto, são processos distintos, tendo cada um, a sua própria regulamentação e legislação.</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No Brasil, a parceria público-privada é regulamentada pela Lei 11.079, de 2004. De acordo com o artigo 2º da referida Lei, “parceria público-privada é o contrato administrativo de concessão, na modalidade patrocinada ou administrativa”. De acordo com a referida Lei, por concessão patrocinada entende-se aquela onde há a prestação de serviços ou execução de obras por parte do parceiro privado, sendo que além de se tarifar o serviço ou obra ao usuário, há também a contrapartida do ator público ao ator privado. Por sua vez, por concessão administrativa entende-se o contrato de prestação de serviços que vise atender direta ou indiretamente a administração pública, ainda que esta tenha de colaborar com a execução da obra ou fornecimento e instalação de bens. A Lei estabelece ainda que para que se constitua contrato de parceria público-privada o valor do mesmo não pode ser inferior a vinte milhões de reais, e o prazo de vigência deve ser igual ou superior a cinco anos.</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Outra forma comum de parceria são os convênios. De acordo com o Decreto 6170, de 25 de julho de 2007, por convênio entende-se</w:t>
      </w:r>
    </w:p>
    <w:p w:rsidR="001121B3" w:rsidRPr="00FD62A0" w:rsidRDefault="001121B3" w:rsidP="00BF4427">
      <w:pPr>
        <w:autoSpaceDE w:val="0"/>
        <w:autoSpaceDN w:val="0"/>
        <w:adjustRightInd w:val="0"/>
        <w:spacing w:line="360" w:lineRule="auto"/>
        <w:ind w:left="709"/>
        <w:jc w:val="both"/>
        <w:rPr>
          <w:sz w:val="20"/>
          <w:szCs w:val="20"/>
        </w:rPr>
      </w:pPr>
      <w:r w:rsidRPr="00FD62A0">
        <w:rPr>
          <w:rFonts w:ascii="Arial" w:hAnsi="Arial" w:cs="Arial"/>
          <w:sz w:val="20"/>
          <w:szCs w:val="20"/>
        </w:rPr>
        <w:t>acordo, ajuste ou qualquer outro instrumento que discipline a transferência de recursos financeiros de dotações consignadas nos Orçamentos Fiscal e da Seguridade Social da União e tenha como partícipe, de um lado, órgão ou entidade da administração pública federal, direta ou indireta, e, de outro lado, órgão ou entidade da administração pública estadual, distrital ou municipal, direta ou indireta, ou ainda, entidades privadas sem fins lucrativos, visando a execução de programa de governo, envolvendo a realização de projeto, atividade, serviço, aquisição de bens ou evento de interesse recíproco, em regime de mútua cooperação.</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Tendo-se apresentado conceitos importantes para o entendimento do trabalho, como o Estado, a administração pública e as parcerias público-</w:t>
      </w:r>
      <w:r w:rsidRPr="00DB3FD5">
        <w:rPr>
          <w:rFonts w:ascii="Arial" w:hAnsi="Arial" w:cs="Arial"/>
          <w:sz w:val="22"/>
          <w:szCs w:val="22"/>
        </w:rPr>
        <w:t xml:space="preserve">privadas, </w:t>
      </w:r>
      <w:r w:rsidR="00A140A5" w:rsidRPr="00DB3FD5">
        <w:rPr>
          <w:rFonts w:ascii="Arial" w:hAnsi="Arial" w:cs="Arial"/>
          <w:sz w:val="22"/>
          <w:szCs w:val="22"/>
        </w:rPr>
        <w:t>bem como</w:t>
      </w:r>
      <w:r w:rsidR="00C937CF" w:rsidRPr="00DB3FD5">
        <w:rPr>
          <w:rFonts w:ascii="Arial" w:hAnsi="Arial" w:cs="Arial"/>
          <w:sz w:val="22"/>
          <w:szCs w:val="22"/>
        </w:rPr>
        <w:t xml:space="preserve"> analisado a evolução </w:t>
      </w:r>
      <w:r w:rsidRPr="00DB3FD5">
        <w:rPr>
          <w:rFonts w:ascii="Arial" w:hAnsi="Arial" w:cs="Arial"/>
          <w:sz w:val="22"/>
          <w:szCs w:val="22"/>
        </w:rPr>
        <w:t>destes fatores, convém</w:t>
      </w:r>
      <w:r w:rsidR="00C937CF" w:rsidRPr="00DB3FD5">
        <w:rPr>
          <w:rFonts w:ascii="Arial" w:hAnsi="Arial" w:cs="Arial"/>
          <w:sz w:val="22"/>
          <w:szCs w:val="22"/>
        </w:rPr>
        <w:t xml:space="preserve"> </w:t>
      </w:r>
      <w:r w:rsidRPr="00DB3FD5">
        <w:rPr>
          <w:rFonts w:ascii="Arial" w:hAnsi="Arial" w:cs="Arial"/>
          <w:sz w:val="22"/>
          <w:szCs w:val="22"/>
        </w:rPr>
        <w:t>fazer apresentação sucinta</w:t>
      </w:r>
      <w:r w:rsidRPr="00FD62A0">
        <w:rPr>
          <w:rFonts w:ascii="Arial" w:hAnsi="Arial" w:cs="Arial"/>
          <w:sz w:val="22"/>
          <w:szCs w:val="22"/>
        </w:rPr>
        <w:t xml:space="preserve"> a cerca da </w:t>
      </w:r>
      <w:r w:rsidRPr="00FD62A0">
        <w:rPr>
          <w:rFonts w:ascii="Arial" w:hAnsi="Arial" w:cs="Arial"/>
          <w:sz w:val="22"/>
          <w:szCs w:val="22"/>
        </w:rPr>
        <w:lastRenderedPageBreak/>
        <w:t xml:space="preserve">exploração sexual, assim como dos dois projetos que são estudados adiante: O projeto </w:t>
      </w:r>
      <w:r w:rsidR="00C02187" w:rsidRPr="00FD62A0">
        <w:rPr>
          <w:rFonts w:ascii="Arial" w:hAnsi="Arial" w:cs="Arial"/>
          <w:sz w:val="22"/>
          <w:szCs w:val="22"/>
        </w:rPr>
        <w:t>ViraVida</w:t>
      </w:r>
      <w:r w:rsidRPr="00FD62A0">
        <w:rPr>
          <w:rFonts w:ascii="Arial" w:hAnsi="Arial" w:cs="Arial"/>
          <w:sz w:val="22"/>
          <w:szCs w:val="22"/>
        </w:rPr>
        <w:t xml:space="preserve"> e o programa “Turismo sustentável e infância”</w:t>
      </w:r>
      <w:r w:rsidR="00A84F83" w:rsidRPr="00FD62A0">
        <w:rPr>
          <w:rFonts w:ascii="Arial" w:hAnsi="Arial" w:cs="Arial"/>
          <w:sz w:val="22"/>
          <w:szCs w:val="22"/>
        </w:rPr>
        <w:t xml:space="preserve">, </w:t>
      </w:r>
      <w:r w:rsidR="009C557D" w:rsidRPr="00FD62A0">
        <w:rPr>
          <w:rFonts w:ascii="Arial" w:hAnsi="Arial" w:cs="Arial"/>
          <w:sz w:val="22"/>
          <w:szCs w:val="22"/>
        </w:rPr>
        <w:t xml:space="preserve">objetos de estudo </w:t>
      </w:r>
      <w:r w:rsidR="00A84F83" w:rsidRPr="00FD62A0">
        <w:rPr>
          <w:rFonts w:ascii="Arial" w:hAnsi="Arial" w:cs="Arial"/>
          <w:sz w:val="22"/>
          <w:szCs w:val="22"/>
        </w:rPr>
        <w:t>deste trabalho.</w:t>
      </w:r>
    </w:p>
    <w:p w:rsidR="00FD7F70" w:rsidRPr="00FD62A0" w:rsidRDefault="00FD7F70" w:rsidP="00BF4427">
      <w:pPr>
        <w:spacing w:line="360" w:lineRule="auto"/>
        <w:ind w:firstLine="708"/>
        <w:jc w:val="both"/>
        <w:rPr>
          <w:rFonts w:ascii="Arial" w:hAnsi="Arial" w:cs="Arial"/>
          <w:sz w:val="22"/>
          <w:szCs w:val="22"/>
        </w:rPr>
      </w:pPr>
    </w:p>
    <w:p w:rsidR="001121B3" w:rsidRPr="00FD62A0" w:rsidRDefault="00026B3E" w:rsidP="00BF4427">
      <w:pPr>
        <w:spacing w:line="360" w:lineRule="auto"/>
        <w:jc w:val="both"/>
        <w:rPr>
          <w:rFonts w:ascii="Arial" w:hAnsi="Arial" w:cs="Arial"/>
          <w:b/>
          <w:sz w:val="22"/>
          <w:szCs w:val="22"/>
        </w:rPr>
      </w:pPr>
      <w:r w:rsidRPr="00FD62A0">
        <w:rPr>
          <w:rFonts w:ascii="Arial" w:hAnsi="Arial" w:cs="Arial"/>
          <w:b/>
          <w:sz w:val="22"/>
          <w:szCs w:val="22"/>
        </w:rPr>
        <w:t>1.5.</w:t>
      </w:r>
      <w:r w:rsidR="001121B3" w:rsidRPr="00FD62A0">
        <w:rPr>
          <w:rFonts w:ascii="Arial" w:hAnsi="Arial" w:cs="Arial"/>
          <w:b/>
          <w:sz w:val="22"/>
          <w:szCs w:val="22"/>
        </w:rPr>
        <w:t xml:space="preserve"> Exploração sexual, Projeto </w:t>
      </w:r>
      <w:r w:rsidR="00C02187" w:rsidRPr="00FD62A0">
        <w:rPr>
          <w:rFonts w:ascii="Arial" w:hAnsi="Arial" w:cs="Arial"/>
          <w:b/>
          <w:sz w:val="22"/>
          <w:szCs w:val="22"/>
        </w:rPr>
        <w:t>ViraVida</w:t>
      </w:r>
      <w:r w:rsidR="001121B3" w:rsidRPr="00FD62A0">
        <w:rPr>
          <w:rFonts w:ascii="Arial" w:hAnsi="Arial" w:cs="Arial"/>
          <w:b/>
          <w:sz w:val="22"/>
          <w:szCs w:val="22"/>
        </w:rPr>
        <w:t xml:space="preserve"> e </w:t>
      </w:r>
      <w:r w:rsidR="009C557D" w:rsidRPr="00FD62A0">
        <w:rPr>
          <w:rFonts w:ascii="Arial" w:hAnsi="Arial" w:cs="Arial"/>
          <w:b/>
          <w:sz w:val="22"/>
          <w:szCs w:val="22"/>
        </w:rPr>
        <w:t xml:space="preserve">Programa </w:t>
      </w:r>
      <w:r w:rsidR="001121B3" w:rsidRPr="00FD62A0">
        <w:rPr>
          <w:rFonts w:ascii="Arial" w:hAnsi="Arial" w:cs="Arial"/>
          <w:b/>
          <w:sz w:val="22"/>
          <w:szCs w:val="22"/>
        </w:rPr>
        <w:t>Turismo sustentável e infância – breves considerações</w:t>
      </w:r>
    </w:p>
    <w:p w:rsidR="001121B3" w:rsidRPr="00FD62A0" w:rsidRDefault="001121B3" w:rsidP="00BF4427">
      <w:pPr>
        <w:spacing w:line="360" w:lineRule="auto"/>
        <w:jc w:val="both"/>
        <w:rPr>
          <w:rFonts w:ascii="Arial" w:hAnsi="Arial" w:cs="Arial"/>
          <w:b/>
          <w:sz w:val="22"/>
          <w:szCs w:val="22"/>
        </w:rPr>
      </w:pP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 xml:space="preserve">A cerca da exploração sexual, vale destacar que o tema foi escolhido para estudo devido </w:t>
      </w:r>
      <w:r w:rsidR="00971EAF" w:rsidRPr="00FD62A0">
        <w:rPr>
          <w:rFonts w:ascii="Arial" w:hAnsi="Arial" w:cs="Arial"/>
          <w:sz w:val="22"/>
          <w:szCs w:val="22"/>
        </w:rPr>
        <w:t>à</w:t>
      </w:r>
      <w:r w:rsidRPr="00FD62A0">
        <w:rPr>
          <w:rFonts w:ascii="Arial" w:hAnsi="Arial" w:cs="Arial"/>
          <w:sz w:val="22"/>
          <w:szCs w:val="22"/>
        </w:rPr>
        <w:t xml:space="preserve"> sua relevância e atualidade. Nesse sentido, cabe conceituar a exploração sexual de acordo com a legislação brasileira.</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O capítulo II do Estatuto da criança e do adolescente trata do direito à liberdade, ao respeito e à dignidade. O artigo 15 expõe esses direitos de forma geral:</w:t>
      </w:r>
    </w:p>
    <w:p w:rsidR="001121B3" w:rsidRPr="00FD62A0" w:rsidRDefault="001121B3" w:rsidP="00BF4427">
      <w:pPr>
        <w:spacing w:line="360" w:lineRule="auto"/>
        <w:ind w:left="709"/>
        <w:jc w:val="both"/>
        <w:rPr>
          <w:rFonts w:ascii="Arial" w:hAnsi="Arial" w:cs="Arial"/>
          <w:sz w:val="20"/>
          <w:szCs w:val="20"/>
        </w:rPr>
      </w:pPr>
      <w:r w:rsidRPr="00FD62A0">
        <w:rPr>
          <w:rFonts w:ascii="Arial" w:hAnsi="Arial" w:cs="Arial"/>
          <w:sz w:val="20"/>
          <w:szCs w:val="20"/>
        </w:rPr>
        <w:t>A criança e o adolescente t</w:t>
      </w:r>
      <w:r w:rsidR="00C937CF">
        <w:rPr>
          <w:rFonts w:ascii="Arial" w:hAnsi="Arial" w:cs="Arial"/>
          <w:sz w:val="20"/>
          <w:szCs w:val="20"/>
        </w:rPr>
        <w:t>ê</w:t>
      </w:r>
      <w:r w:rsidRPr="00FD62A0">
        <w:rPr>
          <w:rFonts w:ascii="Arial" w:hAnsi="Arial" w:cs="Arial"/>
          <w:sz w:val="20"/>
          <w:szCs w:val="20"/>
        </w:rPr>
        <w:t>m direito à liberdade, ao respeito e à dignidade como pessoas humanas em processo de desenvolvimento e como sujeitos de direitos civis, humanos e sociais garantidos na Constituição em dois tipos e nas leis. (Estatuto da criança e do adolescente, 2008)</w:t>
      </w:r>
    </w:p>
    <w:p w:rsidR="001121B3" w:rsidRPr="00FD62A0" w:rsidRDefault="001121B3" w:rsidP="002A1169">
      <w:pPr>
        <w:spacing w:line="360" w:lineRule="auto"/>
        <w:ind w:left="709"/>
        <w:jc w:val="both"/>
        <w:rPr>
          <w:rFonts w:ascii="Arial" w:hAnsi="Arial" w:cs="Arial"/>
          <w:sz w:val="22"/>
          <w:szCs w:val="22"/>
        </w:rPr>
      </w:pPr>
      <w:r w:rsidRPr="00FD62A0">
        <w:rPr>
          <w:rFonts w:ascii="Arial" w:hAnsi="Arial" w:cs="Arial"/>
          <w:sz w:val="22"/>
          <w:szCs w:val="22"/>
        </w:rPr>
        <w:t>O artigo 17 por sua vez, aborda o direito ao respeito, como segue:</w:t>
      </w:r>
    </w:p>
    <w:p w:rsidR="001121B3" w:rsidRPr="00FD62A0" w:rsidRDefault="001121B3" w:rsidP="00BF4427">
      <w:pPr>
        <w:spacing w:line="360" w:lineRule="auto"/>
        <w:ind w:left="709"/>
        <w:jc w:val="both"/>
        <w:rPr>
          <w:rFonts w:ascii="Arial" w:hAnsi="Arial" w:cs="Arial"/>
          <w:sz w:val="20"/>
          <w:szCs w:val="20"/>
        </w:rPr>
      </w:pPr>
      <w:r w:rsidRPr="00FD62A0">
        <w:rPr>
          <w:rFonts w:ascii="Arial" w:hAnsi="Arial" w:cs="Arial"/>
          <w:sz w:val="20"/>
          <w:szCs w:val="20"/>
        </w:rPr>
        <w:t xml:space="preserve">art. 17: </w:t>
      </w:r>
      <w:r w:rsidRPr="00FD62A0">
        <w:rPr>
          <w:rFonts w:ascii="Arial" w:hAnsi="Arial" w:cs="Arial"/>
          <w:i/>
          <w:sz w:val="20"/>
          <w:szCs w:val="20"/>
        </w:rPr>
        <w:t>o direito ao respeito consiste na inviolabilidade da integridade física, psíquica e moral da criança e do adolescente</w:t>
      </w:r>
      <w:r w:rsidRPr="00FD62A0">
        <w:rPr>
          <w:rFonts w:ascii="Arial" w:hAnsi="Arial" w:cs="Arial"/>
          <w:sz w:val="20"/>
          <w:szCs w:val="20"/>
        </w:rPr>
        <w:t>, abrangendo a preservação da imagem, da identidade, da autonomia, dos valores ideias e crenças, dos espaços e objetos pessoais. (Estatuto da criança e do adolescente, 2008)</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Apesar do fato de no Brasil se instituir como regra o respeito às crianças e adolescentes, a exploração sexual </w:t>
      </w:r>
      <w:r w:rsidR="00A85E06">
        <w:rPr>
          <w:rFonts w:ascii="Arial" w:hAnsi="Arial" w:cs="Arial"/>
          <w:sz w:val="22"/>
          <w:szCs w:val="22"/>
        </w:rPr>
        <w:t>infantojuvenil</w:t>
      </w:r>
      <w:r w:rsidRPr="00FD62A0">
        <w:rPr>
          <w:rFonts w:ascii="Arial" w:hAnsi="Arial" w:cs="Arial"/>
          <w:sz w:val="22"/>
          <w:szCs w:val="22"/>
        </w:rPr>
        <w:t xml:space="preserve"> é um fator que assola o país </w:t>
      </w:r>
      <w:r w:rsidR="005F5BEE">
        <w:rPr>
          <w:rFonts w:ascii="Arial" w:hAnsi="Arial" w:cs="Arial"/>
          <w:sz w:val="22"/>
          <w:szCs w:val="22"/>
        </w:rPr>
        <w:t>em todas as classes sociais</w:t>
      </w:r>
      <w:r w:rsidRPr="00FD62A0">
        <w:rPr>
          <w:rFonts w:ascii="Arial" w:hAnsi="Arial" w:cs="Arial"/>
          <w:sz w:val="22"/>
          <w:szCs w:val="22"/>
        </w:rPr>
        <w:t xml:space="preserve">, afetando os Estados mais pobres de maneira mais intensa. </w:t>
      </w:r>
      <w:r w:rsidR="00A84F83" w:rsidRPr="00FD62A0">
        <w:rPr>
          <w:rFonts w:ascii="Arial" w:hAnsi="Arial" w:cs="Arial"/>
          <w:sz w:val="22"/>
          <w:szCs w:val="22"/>
        </w:rPr>
        <w:t>O</w:t>
      </w:r>
      <w:r w:rsidRPr="00FD62A0">
        <w:rPr>
          <w:rFonts w:ascii="Arial" w:hAnsi="Arial" w:cs="Arial"/>
          <w:sz w:val="22"/>
          <w:szCs w:val="22"/>
        </w:rPr>
        <w:t xml:space="preserve"> que diferencia os Estados nesse quesito é a forma como </w:t>
      </w:r>
      <w:r w:rsidR="00971EAF" w:rsidRPr="00FD62A0">
        <w:rPr>
          <w:rFonts w:ascii="Arial" w:hAnsi="Arial" w:cs="Arial"/>
          <w:sz w:val="22"/>
          <w:szCs w:val="22"/>
        </w:rPr>
        <w:t>o fenômeno</w:t>
      </w:r>
      <w:r w:rsidRPr="00FD62A0">
        <w:rPr>
          <w:rFonts w:ascii="Arial" w:hAnsi="Arial" w:cs="Arial"/>
          <w:sz w:val="22"/>
          <w:szCs w:val="22"/>
        </w:rPr>
        <w:t xml:space="preserve"> acontece</w:t>
      </w:r>
      <w:r w:rsidR="00A84F83" w:rsidRPr="00FD62A0">
        <w:rPr>
          <w:rFonts w:ascii="Arial" w:hAnsi="Arial" w:cs="Arial"/>
          <w:sz w:val="22"/>
          <w:szCs w:val="22"/>
        </w:rPr>
        <w:t>.</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De acordo com o Centro </w:t>
      </w:r>
      <w:r w:rsidR="00971EAF" w:rsidRPr="00FD62A0">
        <w:rPr>
          <w:rFonts w:ascii="Arial" w:hAnsi="Arial" w:cs="Arial"/>
          <w:sz w:val="22"/>
          <w:szCs w:val="22"/>
        </w:rPr>
        <w:t xml:space="preserve">de Referência, Estudos </w:t>
      </w:r>
      <w:r w:rsidRPr="00FD62A0">
        <w:rPr>
          <w:rFonts w:ascii="Arial" w:hAnsi="Arial" w:cs="Arial"/>
          <w:sz w:val="22"/>
          <w:szCs w:val="22"/>
        </w:rPr>
        <w:t>e Ações Sobre Crianças e Adolescentes (C</w:t>
      </w:r>
      <w:r w:rsidR="00971EAF" w:rsidRPr="00FD62A0">
        <w:rPr>
          <w:rFonts w:ascii="Arial" w:hAnsi="Arial" w:cs="Arial"/>
          <w:sz w:val="22"/>
          <w:szCs w:val="22"/>
        </w:rPr>
        <w:t>ECR</w:t>
      </w:r>
      <w:r w:rsidRPr="00FD62A0">
        <w:rPr>
          <w:rFonts w:ascii="Arial" w:hAnsi="Arial" w:cs="Arial"/>
          <w:sz w:val="22"/>
          <w:szCs w:val="22"/>
        </w:rPr>
        <w:t>IA)</w:t>
      </w:r>
      <w:r w:rsidR="00BB313D" w:rsidRPr="00FD62A0">
        <w:rPr>
          <w:rFonts w:ascii="Arial" w:hAnsi="Arial" w:cs="Arial"/>
          <w:sz w:val="22"/>
          <w:szCs w:val="22"/>
        </w:rPr>
        <w:t>,</w:t>
      </w:r>
      <w:r w:rsidRPr="00FD62A0">
        <w:rPr>
          <w:rFonts w:ascii="Arial" w:hAnsi="Arial" w:cs="Arial"/>
          <w:sz w:val="22"/>
          <w:szCs w:val="22"/>
        </w:rPr>
        <w:t xml:space="preserve"> a violência sexual pode ser dividida em dois tipos: a intrafamiliar e a extrafamiliar. Ambas as formas não são determinantes para o ingresso da criança e do jovem nas redes de exploração sexual, que englobam a prostituição, a pornografia, as redes de tráfico e turismo sexual. Entretanto, a C</w:t>
      </w:r>
      <w:r w:rsidR="00971EAF" w:rsidRPr="00FD62A0">
        <w:rPr>
          <w:rFonts w:ascii="Arial" w:hAnsi="Arial" w:cs="Arial"/>
          <w:sz w:val="22"/>
          <w:szCs w:val="22"/>
        </w:rPr>
        <w:t>ECR</w:t>
      </w:r>
      <w:r w:rsidRPr="00FD62A0">
        <w:rPr>
          <w:rFonts w:ascii="Arial" w:hAnsi="Arial" w:cs="Arial"/>
          <w:sz w:val="22"/>
          <w:szCs w:val="22"/>
        </w:rPr>
        <w:t>IA destaca que tanto a violência sofrida quanto o fato social da pobreza constituem fator de vulnerabilização. (</w:t>
      </w:r>
      <w:r w:rsidR="00E41D22" w:rsidRPr="00FD62A0">
        <w:rPr>
          <w:rFonts w:ascii="Arial" w:hAnsi="Arial" w:cs="Arial"/>
          <w:sz w:val="22"/>
          <w:szCs w:val="22"/>
        </w:rPr>
        <w:t>Leal, 1999</w:t>
      </w:r>
      <w:r w:rsidRPr="00FD62A0">
        <w:rPr>
          <w:rFonts w:ascii="Arial" w:hAnsi="Arial" w:cs="Arial"/>
          <w:sz w:val="22"/>
          <w:szCs w:val="22"/>
        </w:rPr>
        <w:t>)</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t xml:space="preserve"> A forma intrafamiliar ocorre quando existe parentesco entre vítima e</w:t>
      </w:r>
      <w:r w:rsidR="00EB53B4" w:rsidRPr="00FD62A0">
        <w:rPr>
          <w:rFonts w:ascii="Arial" w:hAnsi="Arial" w:cs="Arial"/>
          <w:sz w:val="22"/>
          <w:szCs w:val="22"/>
        </w:rPr>
        <w:t xml:space="preserve"> o</w:t>
      </w:r>
      <w:r w:rsidRPr="00FD62A0">
        <w:rPr>
          <w:rFonts w:ascii="Arial" w:hAnsi="Arial" w:cs="Arial"/>
          <w:sz w:val="22"/>
          <w:szCs w:val="22"/>
        </w:rPr>
        <w:t xml:space="preserve"> agressor, e a extrafamiliar quando não existe parentesco entre os envolvidos. No âmbito intrafamiliar, os jovens e crianças sofrem abusos diversos. Tanto há abusos relativo</w:t>
      </w:r>
      <w:r w:rsidR="00EB53B4" w:rsidRPr="00FD62A0">
        <w:rPr>
          <w:rFonts w:ascii="Arial" w:hAnsi="Arial" w:cs="Arial"/>
          <w:sz w:val="22"/>
          <w:szCs w:val="22"/>
        </w:rPr>
        <w:t>s à condição social de pobreza –</w:t>
      </w:r>
      <w:r w:rsidRPr="00FD62A0">
        <w:rPr>
          <w:rFonts w:ascii="Arial" w:hAnsi="Arial" w:cs="Arial"/>
          <w:sz w:val="22"/>
          <w:szCs w:val="22"/>
        </w:rPr>
        <w:t xml:space="preserve"> como falta de alimentação ou moradia, além da exclusão social – quanto existem os abusos sexuais e agressões físicas de diversas ordens. O tipo extrafamiliar, a forma de violência mais recorrente é a exploração sexual de jovens e crianças. (Leal, 2003)</w:t>
      </w:r>
    </w:p>
    <w:p w:rsidR="001121B3" w:rsidRPr="00FD62A0" w:rsidRDefault="001121B3" w:rsidP="00BF4427">
      <w:pPr>
        <w:spacing w:line="360" w:lineRule="auto"/>
        <w:ind w:firstLine="708"/>
        <w:jc w:val="both"/>
        <w:rPr>
          <w:rFonts w:ascii="Arial" w:hAnsi="Arial" w:cs="Arial"/>
          <w:sz w:val="22"/>
          <w:szCs w:val="22"/>
        </w:rPr>
      </w:pPr>
      <w:r w:rsidRPr="00FD62A0">
        <w:rPr>
          <w:rFonts w:ascii="Arial" w:hAnsi="Arial" w:cs="Arial"/>
          <w:sz w:val="22"/>
          <w:szCs w:val="22"/>
        </w:rPr>
        <w:lastRenderedPageBreak/>
        <w:t xml:space="preserve">Entretanto, apesar de freqüente, este tipo de situação não é combatido com firmeza pela sociedade. Há algumas razões apontadas como explicação à inércia social. A primeira delas diz respeito à dificuldade de conceituação do termo “exploração sexual”. No nível acadêmico utiliza-se a expressão “prostituição </w:t>
      </w:r>
      <w:r w:rsidR="00A85E06">
        <w:rPr>
          <w:rFonts w:ascii="Arial" w:hAnsi="Arial" w:cs="Arial"/>
          <w:sz w:val="22"/>
          <w:szCs w:val="22"/>
        </w:rPr>
        <w:t>infantojuvenil</w:t>
      </w:r>
      <w:r w:rsidRPr="00FD62A0">
        <w:rPr>
          <w:rFonts w:ascii="Arial" w:hAnsi="Arial" w:cs="Arial"/>
          <w:sz w:val="22"/>
          <w:szCs w:val="22"/>
        </w:rPr>
        <w:t>” enquanto para os criadores de políticas de enfrentamento, utiliza-se o termo “exploração sexual comercial de crianças e adolescentes”. Outra dificuldade concerne à diferenciação entre abuso e exploração sexual comercial de crianças e adolescentes. De acordo com Vicente Faleiros as principais diferenças são referentes ao autor da violência e à sua forma de atuação.</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Ao </w:t>
      </w:r>
      <w:r w:rsidR="00EB53B4" w:rsidRPr="00FD62A0">
        <w:rPr>
          <w:rFonts w:ascii="Arial" w:hAnsi="Arial" w:cs="Arial"/>
          <w:sz w:val="22"/>
          <w:szCs w:val="22"/>
        </w:rPr>
        <w:t xml:space="preserve">abordar o tema </w:t>
      </w:r>
      <w:r w:rsidR="00BB313D" w:rsidRPr="00FD62A0">
        <w:rPr>
          <w:rFonts w:ascii="Arial" w:hAnsi="Arial" w:cs="Arial"/>
          <w:sz w:val="22"/>
          <w:szCs w:val="22"/>
        </w:rPr>
        <w:t xml:space="preserve">da </w:t>
      </w:r>
      <w:r w:rsidRPr="00FD62A0">
        <w:rPr>
          <w:rFonts w:ascii="Arial" w:hAnsi="Arial" w:cs="Arial"/>
          <w:sz w:val="22"/>
          <w:szCs w:val="22"/>
        </w:rPr>
        <w:t>exploração sexual comercial, cabe apresentar a definição cunhada pela Agenda de Ação de Estocolmo, de 1996, para este tipo de violência:</w:t>
      </w:r>
    </w:p>
    <w:p w:rsidR="001121B3" w:rsidRPr="00FD62A0" w:rsidRDefault="001121B3" w:rsidP="00BF4427">
      <w:pPr>
        <w:spacing w:line="360" w:lineRule="auto"/>
        <w:ind w:left="709"/>
        <w:jc w:val="both"/>
        <w:rPr>
          <w:rFonts w:ascii="Arial" w:hAnsi="Arial" w:cs="Arial"/>
          <w:sz w:val="20"/>
          <w:szCs w:val="20"/>
        </w:rPr>
      </w:pPr>
      <w:r w:rsidRPr="00FD62A0">
        <w:rPr>
          <w:rFonts w:ascii="Arial" w:hAnsi="Arial" w:cs="Arial"/>
          <w:sz w:val="20"/>
          <w:szCs w:val="20"/>
        </w:rPr>
        <w:t>Exploração sexual comercial infantil é todo tipo de atividade em que as redes, usuários e pessoas usam o corpo de um menino, menina ou de adolescente para tirar vantagem ou proveito de caráter sexual com base numa relação de exploração sexual e poder e declara que a exploração sexual comercial de crianças e adolescentes é um crime contra a humanidade. (Estocolmo, 1996)</w:t>
      </w:r>
    </w:p>
    <w:p w:rsidR="00EB53C8" w:rsidRPr="00CF3B0E" w:rsidRDefault="00E27F22" w:rsidP="00BF4427">
      <w:pPr>
        <w:spacing w:line="360" w:lineRule="auto"/>
        <w:ind w:left="709"/>
        <w:jc w:val="both"/>
        <w:rPr>
          <w:rFonts w:ascii="Arial" w:hAnsi="Arial" w:cs="Arial"/>
          <w:sz w:val="22"/>
          <w:szCs w:val="22"/>
        </w:rPr>
      </w:pPr>
      <w:r w:rsidRPr="00CF3B0E">
        <w:rPr>
          <w:rFonts w:ascii="Arial" w:hAnsi="Arial" w:cs="Arial"/>
          <w:sz w:val="22"/>
          <w:szCs w:val="22"/>
        </w:rPr>
        <w:t xml:space="preserve">Em complemento à definição cunhada na Convenção de Estocolmo, a OMS define a exploração sexual como </w:t>
      </w:r>
    </w:p>
    <w:p w:rsidR="002C66AA" w:rsidRPr="00FD62A0" w:rsidRDefault="00B73959" w:rsidP="00BF4427">
      <w:pPr>
        <w:spacing w:line="360" w:lineRule="auto"/>
        <w:ind w:left="709"/>
        <w:jc w:val="both"/>
        <w:rPr>
          <w:rFonts w:ascii="Arial" w:hAnsi="Arial" w:cs="Arial"/>
          <w:sz w:val="20"/>
          <w:szCs w:val="20"/>
        </w:rPr>
      </w:pPr>
      <w:r w:rsidRPr="00FD62A0">
        <w:rPr>
          <w:rFonts w:ascii="Arial" w:hAnsi="Arial" w:cs="Arial"/>
          <w:sz w:val="20"/>
          <w:szCs w:val="20"/>
        </w:rPr>
        <w:t>a exploração</w:t>
      </w:r>
      <w:r w:rsidR="00E27F22" w:rsidRPr="00FD62A0">
        <w:rPr>
          <w:rFonts w:ascii="Arial" w:hAnsi="Arial" w:cs="Arial"/>
          <w:sz w:val="20"/>
          <w:szCs w:val="20"/>
        </w:rPr>
        <w:t xml:space="preserve"> ou tentativa contra pessoa que esteja em situação vulner</w:t>
      </w:r>
      <w:r w:rsidR="00EF4F52" w:rsidRPr="00FD62A0">
        <w:rPr>
          <w:rFonts w:ascii="Arial" w:hAnsi="Arial" w:cs="Arial"/>
          <w:sz w:val="20"/>
          <w:szCs w:val="20"/>
        </w:rPr>
        <w:t>ável, de diferença de poder ou de confiança, com propósitos sexuais</w:t>
      </w:r>
      <w:r w:rsidR="00EB53C8" w:rsidRPr="00FD62A0">
        <w:rPr>
          <w:rFonts w:ascii="Arial" w:hAnsi="Arial" w:cs="Arial"/>
          <w:sz w:val="20"/>
          <w:szCs w:val="20"/>
        </w:rPr>
        <w:t xml:space="preserve">, lucrando financeiramente, socialmente ou politicamente com a exploração sexual de terceiros. </w:t>
      </w:r>
      <w:r w:rsidR="007F4E25" w:rsidRPr="00FD62A0">
        <w:rPr>
          <w:rFonts w:ascii="Arial" w:hAnsi="Arial" w:cs="Arial"/>
          <w:sz w:val="20"/>
          <w:szCs w:val="20"/>
        </w:rPr>
        <w:t>(OMS, 2010)</w:t>
      </w:r>
    </w:p>
    <w:p w:rsidR="002C66AA" w:rsidRPr="00FD62A0" w:rsidRDefault="00CF6818" w:rsidP="00CF6818">
      <w:pPr>
        <w:spacing w:line="360" w:lineRule="auto"/>
        <w:jc w:val="both"/>
        <w:rPr>
          <w:rFonts w:ascii="Arial" w:hAnsi="Arial" w:cs="Arial"/>
          <w:sz w:val="22"/>
          <w:szCs w:val="22"/>
        </w:rPr>
      </w:pPr>
      <w:r w:rsidRPr="00FD62A0">
        <w:rPr>
          <w:rFonts w:ascii="Arial" w:hAnsi="Arial" w:cs="Arial"/>
          <w:sz w:val="22"/>
          <w:szCs w:val="22"/>
        </w:rPr>
        <w:tab/>
      </w:r>
      <w:r w:rsidR="002C66AA" w:rsidRPr="00FD62A0">
        <w:rPr>
          <w:rFonts w:ascii="Arial" w:hAnsi="Arial" w:cs="Arial"/>
          <w:sz w:val="22"/>
          <w:szCs w:val="22"/>
        </w:rPr>
        <w:t>Como abuso, a OMS define</w:t>
      </w:r>
      <w:r w:rsidRPr="00FD62A0">
        <w:rPr>
          <w:rFonts w:ascii="Arial" w:hAnsi="Arial" w:cs="Arial"/>
          <w:sz w:val="22"/>
          <w:szCs w:val="22"/>
        </w:rPr>
        <w:t xml:space="preserve"> "</w:t>
      </w:r>
      <w:r w:rsidR="00B73959" w:rsidRPr="00FD62A0">
        <w:rPr>
          <w:rFonts w:ascii="Arial" w:hAnsi="Arial" w:cs="Arial"/>
          <w:sz w:val="22"/>
          <w:szCs w:val="22"/>
        </w:rPr>
        <w:t>o abuso ou tentativa de intrusão física de natureza sexual, seja por meio de força ou de outros meios de coerção</w:t>
      </w:r>
      <w:r w:rsidRPr="00FD62A0">
        <w:rPr>
          <w:rFonts w:ascii="Arial" w:hAnsi="Arial" w:cs="Arial"/>
          <w:sz w:val="22"/>
          <w:szCs w:val="22"/>
        </w:rPr>
        <w:t>"</w:t>
      </w:r>
      <w:r w:rsidR="00A62290" w:rsidRPr="00FD62A0">
        <w:rPr>
          <w:rFonts w:ascii="Arial" w:hAnsi="Arial" w:cs="Arial"/>
          <w:sz w:val="22"/>
          <w:szCs w:val="22"/>
        </w:rPr>
        <w:t xml:space="preserve"> (OMS, 2010)</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Para este trabalho, foram destacados os projetos </w:t>
      </w:r>
      <w:r w:rsidR="00C02187" w:rsidRPr="00FD62A0">
        <w:rPr>
          <w:rFonts w:ascii="Arial" w:hAnsi="Arial" w:cs="Arial"/>
          <w:sz w:val="22"/>
          <w:szCs w:val="22"/>
        </w:rPr>
        <w:t>ViraVida</w:t>
      </w:r>
      <w:r w:rsidRPr="00FD62A0">
        <w:rPr>
          <w:rFonts w:ascii="Arial" w:hAnsi="Arial" w:cs="Arial"/>
          <w:sz w:val="22"/>
          <w:szCs w:val="22"/>
        </w:rPr>
        <w:t xml:space="preserve"> e Turismo Sustentável e Infância. Ambos </w:t>
      </w:r>
      <w:r w:rsidR="00D348A1" w:rsidRPr="00FD62A0">
        <w:rPr>
          <w:rFonts w:ascii="Arial" w:hAnsi="Arial" w:cs="Arial"/>
          <w:sz w:val="22"/>
          <w:szCs w:val="22"/>
        </w:rPr>
        <w:t>têm por objetivo gerar formas de redução</w:t>
      </w:r>
      <w:r w:rsidRPr="00FD62A0">
        <w:rPr>
          <w:rFonts w:ascii="Arial" w:hAnsi="Arial" w:cs="Arial"/>
          <w:sz w:val="22"/>
          <w:szCs w:val="22"/>
        </w:rPr>
        <w:t xml:space="preserve"> da exploração sexual de jovens e crianças, combatendo este p</w:t>
      </w:r>
      <w:r w:rsidR="00D348A1" w:rsidRPr="00FD62A0">
        <w:rPr>
          <w:rFonts w:ascii="Arial" w:hAnsi="Arial" w:cs="Arial"/>
          <w:sz w:val="22"/>
          <w:szCs w:val="22"/>
        </w:rPr>
        <w:t>roblema de forma diferen</w:t>
      </w:r>
      <w:r w:rsidR="001A7E0E" w:rsidRPr="00FD62A0">
        <w:rPr>
          <w:rFonts w:ascii="Arial" w:hAnsi="Arial" w:cs="Arial"/>
          <w:sz w:val="22"/>
          <w:szCs w:val="22"/>
        </w:rPr>
        <w:t xml:space="preserve">te das demais ações dirigidas a seu enfrentamento. </w:t>
      </w:r>
      <w:r w:rsidRPr="00FD62A0">
        <w:rPr>
          <w:rFonts w:ascii="Arial" w:hAnsi="Arial" w:cs="Arial"/>
          <w:sz w:val="22"/>
          <w:szCs w:val="22"/>
        </w:rPr>
        <w:t>C</w:t>
      </w:r>
      <w:r w:rsidR="00D348A1" w:rsidRPr="00FD62A0">
        <w:rPr>
          <w:rFonts w:ascii="Arial" w:hAnsi="Arial" w:cs="Arial"/>
          <w:sz w:val="22"/>
          <w:szCs w:val="22"/>
        </w:rPr>
        <w:t>onsiderando-se que no Brasil um dos principais aspectos da</w:t>
      </w:r>
      <w:r w:rsidRPr="00FD62A0">
        <w:rPr>
          <w:rFonts w:ascii="Arial" w:hAnsi="Arial" w:cs="Arial"/>
          <w:sz w:val="22"/>
          <w:szCs w:val="22"/>
        </w:rPr>
        <w:t xml:space="preserve"> exploração sexual</w:t>
      </w:r>
      <w:r w:rsidR="00D348A1" w:rsidRPr="00FD62A0">
        <w:rPr>
          <w:rFonts w:ascii="Arial" w:hAnsi="Arial" w:cs="Arial"/>
          <w:sz w:val="22"/>
          <w:szCs w:val="22"/>
        </w:rPr>
        <w:t xml:space="preserve"> </w:t>
      </w:r>
      <w:r w:rsidR="00A85E06">
        <w:rPr>
          <w:rFonts w:ascii="Arial" w:hAnsi="Arial" w:cs="Arial"/>
          <w:sz w:val="22"/>
          <w:szCs w:val="22"/>
        </w:rPr>
        <w:t>infantojuvenil</w:t>
      </w:r>
      <w:r w:rsidRPr="00FD62A0">
        <w:rPr>
          <w:rFonts w:ascii="Arial" w:hAnsi="Arial" w:cs="Arial"/>
          <w:sz w:val="22"/>
          <w:szCs w:val="22"/>
        </w:rPr>
        <w:t xml:space="preserve"> é atrelad</w:t>
      </w:r>
      <w:r w:rsidR="00D348A1" w:rsidRPr="00FD62A0">
        <w:rPr>
          <w:rFonts w:ascii="Arial" w:hAnsi="Arial" w:cs="Arial"/>
          <w:sz w:val="22"/>
          <w:szCs w:val="22"/>
        </w:rPr>
        <w:t>o</w:t>
      </w:r>
      <w:r w:rsidRPr="00FD62A0">
        <w:rPr>
          <w:rFonts w:ascii="Arial" w:hAnsi="Arial" w:cs="Arial"/>
          <w:sz w:val="22"/>
          <w:szCs w:val="22"/>
        </w:rPr>
        <w:t xml:space="preserve"> ao turismo, torna-se relevante apresentar a posição do Código Mundial de Ética do Turismo em relação ao tema.</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Em consonância com a legislação nacional, o artigo 2, inciso 3, do Código Mundial de Ética do Turismo destaca que:</w:t>
      </w:r>
    </w:p>
    <w:p w:rsidR="001121B3" w:rsidRPr="00FD62A0" w:rsidRDefault="001121B3" w:rsidP="00BF4427">
      <w:pPr>
        <w:spacing w:line="360" w:lineRule="auto"/>
        <w:ind w:left="709"/>
        <w:jc w:val="both"/>
        <w:rPr>
          <w:rFonts w:ascii="Arial" w:hAnsi="Arial" w:cs="Arial"/>
          <w:sz w:val="20"/>
          <w:szCs w:val="20"/>
        </w:rPr>
      </w:pPr>
      <w:r w:rsidRPr="00FD62A0">
        <w:rPr>
          <w:rFonts w:ascii="Arial" w:hAnsi="Arial" w:cs="Arial"/>
          <w:sz w:val="20"/>
          <w:szCs w:val="20"/>
        </w:rPr>
        <w:t>A exploração de todos os seres humanos sob todas as suas formas, nomeadamente a sexual, e especialmente no caso das crianças, vai contra os objetivos fundamentais do turismo e constitui a sua própria negação; a esse título e em conformidade com o direito internacional, ela deve ser rigorosamente combatida com a cooperação de todos os Estados envolvidos e sancionada sem concessões pelas legislações nacionais, quer dos países visitados, quer dos de origem dos atores desses atos, mesmo quando estes são executados no estrangeiro. (</w:t>
      </w:r>
      <w:r w:rsidR="009D59A7" w:rsidRPr="00FD62A0">
        <w:rPr>
          <w:rFonts w:ascii="Arial" w:hAnsi="Arial" w:cs="Arial"/>
          <w:sz w:val="20"/>
          <w:szCs w:val="20"/>
        </w:rPr>
        <w:t>Organização Mundial</w:t>
      </w:r>
      <w:r w:rsidRPr="00FD62A0">
        <w:rPr>
          <w:rFonts w:ascii="Arial" w:hAnsi="Arial" w:cs="Arial"/>
          <w:sz w:val="20"/>
          <w:szCs w:val="20"/>
        </w:rPr>
        <w:t xml:space="preserve"> do Turismo, 1999)</w:t>
      </w:r>
    </w:p>
    <w:p w:rsidR="001A7E0E"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lastRenderedPageBreak/>
        <w:tab/>
        <w:t>O referido código de ética, no artigo 6, inciso 6, afirma que os meios de comunicação não devem de forma alguma incentivar o turismo sexual. Nesse sentido</w:t>
      </w:r>
      <w:r w:rsidR="00D348A1" w:rsidRPr="00FD62A0">
        <w:rPr>
          <w:rFonts w:ascii="Arial" w:hAnsi="Arial" w:cs="Arial"/>
          <w:sz w:val="22"/>
          <w:szCs w:val="22"/>
        </w:rPr>
        <w:t>, da exploração sexual comercial</w:t>
      </w:r>
      <w:r w:rsidRPr="00FD62A0">
        <w:rPr>
          <w:rFonts w:ascii="Arial" w:hAnsi="Arial" w:cs="Arial"/>
          <w:sz w:val="22"/>
          <w:szCs w:val="22"/>
        </w:rPr>
        <w:t xml:space="preserve"> destaca-se para este trabalho os projetos Turismo Sustentável e Infância e o projeto </w:t>
      </w:r>
      <w:r w:rsidR="00C02187" w:rsidRPr="00FD62A0">
        <w:rPr>
          <w:rFonts w:ascii="Arial" w:hAnsi="Arial" w:cs="Arial"/>
          <w:sz w:val="22"/>
          <w:szCs w:val="22"/>
        </w:rPr>
        <w:t>ViraVida</w:t>
      </w:r>
      <w:r w:rsidRPr="00FD62A0">
        <w:rPr>
          <w:rFonts w:ascii="Arial" w:hAnsi="Arial" w:cs="Arial"/>
          <w:sz w:val="22"/>
          <w:szCs w:val="22"/>
        </w:rPr>
        <w:t>.</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O Programa Turismo Sustentável e Infância foi criado pelo Ministério do Turismo, em 2004, sendo desenvolvido em parceria com diversos atores </w:t>
      </w:r>
      <w:r w:rsidRPr="00C937CF">
        <w:rPr>
          <w:rFonts w:ascii="Arial" w:hAnsi="Arial" w:cs="Arial"/>
          <w:sz w:val="22"/>
          <w:szCs w:val="22"/>
        </w:rPr>
        <w:t>público</w:t>
      </w:r>
      <w:r w:rsidR="00C937CF" w:rsidRPr="00C937CF">
        <w:rPr>
          <w:rFonts w:ascii="Arial" w:hAnsi="Arial" w:cs="Arial"/>
          <w:sz w:val="22"/>
          <w:szCs w:val="22"/>
        </w:rPr>
        <w:t>s</w:t>
      </w:r>
      <w:r w:rsidRPr="00C937CF">
        <w:rPr>
          <w:rFonts w:ascii="Arial" w:hAnsi="Arial" w:cs="Arial"/>
          <w:color w:val="00B050"/>
          <w:sz w:val="22"/>
          <w:szCs w:val="22"/>
        </w:rPr>
        <w:t xml:space="preserve"> </w:t>
      </w:r>
      <w:r w:rsidRPr="00C937CF">
        <w:rPr>
          <w:rFonts w:ascii="Arial" w:hAnsi="Arial" w:cs="Arial"/>
          <w:sz w:val="22"/>
          <w:szCs w:val="22"/>
        </w:rPr>
        <w:t>e privado</w:t>
      </w:r>
      <w:r w:rsidR="00C937CF">
        <w:rPr>
          <w:rFonts w:ascii="Arial" w:hAnsi="Arial" w:cs="Arial"/>
          <w:sz w:val="22"/>
          <w:szCs w:val="22"/>
        </w:rPr>
        <w:t>s.</w:t>
      </w:r>
      <w:r w:rsidRPr="00FD62A0">
        <w:rPr>
          <w:rFonts w:ascii="Arial" w:hAnsi="Arial" w:cs="Arial"/>
          <w:sz w:val="22"/>
          <w:szCs w:val="22"/>
        </w:rPr>
        <w:t xml:space="preserve"> Entre seus parceiros estão órgãos da área</w:t>
      </w:r>
      <w:r w:rsidR="00D9159C" w:rsidRPr="00FD62A0">
        <w:rPr>
          <w:rFonts w:ascii="Arial" w:hAnsi="Arial" w:cs="Arial"/>
          <w:sz w:val="22"/>
          <w:szCs w:val="22"/>
        </w:rPr>
        <w:t>,</w:t>
      </w:r>
      <w:r w:rsidRPr="00FD62A0">
        <w:rPr>
          <w:rFonts w:ascii="Arial" w:hAnsi="Arial" w:cs="Arial"/>
          <w:sz w:val="22"/>
          <w:szCs w:val="22"/>
        </w:rPr>
        <w:t xml:space="preserve"> como o Conselho Nacional de Turismo, as Secretarias de Turismo, além de empresas do setor turístico, sociedade civil e outros. Seu objetivo principal é atuar junto à cadeia produtiva do setor de turismo, no intuito de proteger crianças e adolescentes da rede de exploração sexual. O programa atua </w:t>
      </w:r>
      <w:r w:rsidR="00903C48" w:rsidRPr="00FD62A0">
        <w:rPr>
          <w:rFonts w:ascii="Arial" w:hAnsi="Arial" w:cs="Arial"/>
          <w:sz w:val="22"/>
          <w:szCs w:val="22"/>
        </w:rPr>
        <w:t>principalmente no eixo d</w:t>
      </w:r>
      <w:r w:rsidRPr="00FD62A0">
        <w:rPr>
          <w:rFonts w:ascii="Arial" w:hAnsi="Arial" w:cs="Arial"/>
          <w:sz w:val="22"/>
          <w:szCs w:val="22"/>
        </w:rPr>
        <w:t>a prevenção</w:t>
      </w:r>
      <w:r w:rsidR="00903C48" w:rsidRPr="00FD62A0">
        <w:rPr>
          <w:rFonts w:ascii="Arial" w:hAnsi="Arial" w:cs="Arial"/>
          <w:sz w:val="22"/>
          <w:szCs w:val="22"/>
        </w:rPr>
        <w:t xml:space="preserve"> uma vez que é dirigido a crianças da rede pública de ensino em situação de vulnerabilidade social. Também atua </w:t>
      </w:r>
      <w:r w:rsidRPr="00FD62A0">
        <w:rPr>
          <w:rFonts w:ascii="Arial" w:hAnsi="Arial" w:cs="Arial"/>
          <w:sz w:val="22"/>
          <w:szCs w:val="22"/>
        </w:rPr>
        <w:t>no enfrentamento do problema e tem como princípios o desenvolvimento sustentável, a responsabilidade social coorporativa e os direitos da criança e do adolescente.</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 xml:space="preserve">O projeto </w:t>
      </w:r>
      <w:r w:rsidR="00C02187" w:rsidRPr="00FD62A0">
        <w:rPr>
          <w:rFonts w:ascii="Arial" w:hAnsi="Arial" w:cs="Arial"/>
          <w:sz w:val="22"/>
          <w:szCs w:val="22"/>
        </w:rPr>
        <w:t>ViraVida</w:t>
      </w:r>
      <w:r w:rsidR="00903C48" w:rsidRPr="00FD62A0">
        <w:rPr>
          <w:rFonts w:ascii="Arial" w:hAnsi="Arial" w:cs="Arial"/>
          <w:sz w:val="22"/>
          <w:szCs w:val="22"/>
        </w:rPr>
        <w:t xml:space="preserve"> </w:t>
      </w:r>
      <w:r w:rsidRPr="00FD62A0">
        <w:rPr>
          <w:rFonts w:ascii="Arial" w:hAnsi="Arial" w:cs="Arial"/>
          <w:sz w:val="22"/>
          <w:szCs w:val="22"/>
        </w:rPr>
        <w:t xml:space="preserve"> é uma iniciativa do Conselho Nacional do Serviço Social da Indústria (</w:t>
      </w:r>
      <w:r w:rsidR="002A1169" w:rsidRPr="00FD62A0">
        <w:rPr>
          <w:rFonts w:ascii="Arial" w:hAnsi="Arial" w:cs="Arial"/>
          <w:sz w:val="22"/>
          <w:szCs w:val="22"/>
        </w:rPr>
        <w:t>SESI</w:t>
      </w:r>
      <w:r w:rsidRPr="00FD62A0">
        <w:rPr>
          <w:rFonts w:ascii="Arial" w:hAnsi="Arial" w:cs="Arial"/>
          <w:sz w:val="22"/>
          <w:szCs w:val="22"/>
        </w:rPr>
        <w:t xml:space="preserve">) </w:t>
      </w:r>
      <w:r w:rsidR="00903C48" w:rsidRPr="00FD62A0">
        <w:rPr>
          <w:rFonts w:ascii="Arial" w:hAnsi="Arial" w:cs="Arial"/>
          <w:sz w:val="22"/>
          <w:szCs w:val="22"/>
        </w:rPr>
        <w:t>qu</w:t>
      </w:r>
      <w:r w:rsidR="00A84F83" w:rsidRPr="00FD62A0">
        <w:rPr>
          <w:rFonts w:ascii="Arial" w:hAnsi="Arial" w:cs="Arial"/>
          <w:sz w:val="22"/>
          <w:szCs w:val="22"/>
        </w:rPr>
        <w:t xml:space="preserve">e atua </w:t>
      </w:r>
      <w:r w:rsidR="00D9159C" w:rsidRPr="00FD62A0">
        <w:rPr>
          <w:rFonts w:ascii="Arial" w:hAnsi="Arial" w:cs="Arial"/>
          <w:sz w:val="22"/>
          <w:szCs w:val="22"/>
        </w:rPr>
        <w:t xml:space="preserve">em parceria com órgãos governamentais e não governamentais, além de empresas públicas e privadas. </w:t>
      </w:r>
      <w:r w:rsidRPr="00FD62A0">
        <w:rPr>
          <w:rFonts w:ascii="Arial" w:hAnsi="Arial" w:cs="Arial"/>
          <w:sz w:val="22"/>
          <w:szCs w:val="22"/>
        </w:rPr>
        <w:t>Entre os parceiros</w:t>
      </w:r>
      <w:r w:rsidR="00D9159C" w:rsidRPr="00FD62A0">
        <w:rPr>
          <w:rFonts w:ascii="Arial" w:hAnsi="Arial" w:cs="Arial"/>
          <w:sz w:val="22"/>
          <w:szCs w:val="22"/>
        </w:rPr>
        <w:t xml:space="preserve"> executores</w:t>
      </w:r>
      <w:r w:rsidRPr="00FD62A0">
        <w:rPr>
          <w:rFonts w:ascii="Arial" w:hAnsi="Arial" w:cs="Arial"/>
          <w:sz w:val="22"/>
          <w:szCs w:val="22"/>
        </w:rPr>
        <w:t xml:space="preserve"> do projeto estão as instituições do Sistema S – </w:t>
      </w:r>
      <w:r w:rsidR="002A1169" w:rsidRPr="00FD62A0">
        <w:rPr>
          <w:rFonts w:ascii="Arial" w:hAnsi="Arial" w:cs="Arial"/>
          <w:sz w:val="22"/>
          <w:szCs w:val="22"/>
        </w:rPr>
        <w:t>SESI</w:t>
      </w:r>
      <w:r w:rsidRPr="00FD62A0">
        <w:rPr>
          <w:rFonts w:ascii="Arial" w:hAnsi="Arial" w:cs="Arial"/>
          <w:sz w:val="22"/>
          <w:szCs w:val="22"/>
        </w:rPr>
        <w:t xml:space="preserve">, </w:t>
      </w:r>
      <w:r w:rsidR="002A1169" w:rsidRPr="00FD62A0">
        <w:rPr>
          <w:rFonts w:ascii="Arial" w:hAnsi="Arial" w:cs="Arial"/>
          <w:sz w:val="22"/>
          <w:szCs w:val="22"/>
        </w:rPr>
        <w:t>SENAI</w:t>
      </w:r>
      <w:r w:rsidR="00903C48" w:rsidRPr="00FD62A0">
        <w:rPr>
          <w:rFonts w:ascii="Arial" w:hAnsi="Arial" w:cs="Arial"/>
          <w:sz w:val="22"/>
          <w:szCs w:val="22"/>
        </w:rPr>
        <w:t>,</w:t>
      </w:r>
      <w:r w:rsidRPr="00FD62A0">
        <w:rPr>
          <w:rFonts w:ascii="Arial" w:hAnsi="Arial" w:cs="Arial"/>
          <w:sz w:val="22"/>
          <w:szCs w:val="22"/>
        </w:rPr>
        <w:t xml:space="preserve"> </w:t>
      </w:r>
      <w:r w:rsidR="002A1169" w:rsidRPr="00FD62A0">
        <w:rPr>
          <w:rFonts w:ascii="Arial" w:hAnsi="Arial" w:cs="Arial"/>
          <w:sz w:val="22"/>
          <w:szCs w:val="22"/>
        </w:rPr>
        <w:t>SESC</w:t>
      </w:r>
      <w:r w:rsidR="00903C48" w:rsidRPr="00FD62A0">
        <w:rPr>
          <w:rFonts w:ascii="Arial" w:hAnsi="Arial" w:cs="Arial"/>
          <w:sz w:val="22"/>
          <w:szCs w:val="22"/>
        </w:rPr>
        <w:t xml:space="preserve">, </w:t>
      </w:r>
      <w:r w:rsidR="002A1169" w:rsidRPr="00FD62A0">
        <w:rPr>
          <w:rFonts w:ascii="Arial" w:hAnsi="Arial" w:cs="Arial"/>
          <w:sz w:val="22"/>
          <w:szCs w:val="22"/>
        </w:rPr>
        <w:t>SENAC</w:t>
      </w:r>
      <w:r w:rsidR="00903C48" w:rsidRPr="00FD62A0">
        <w:rPr>
          <w:rFonts w:ascii="Arial" w:hAnsi="Arial" w:cs="Arial"/>
          <w:sz w:val="22"/>
          <w:szCs w:val="22"/>
        </w:rPr>
        <w:t xml:space="preserve">, </w:t>
      </w:r>
      <w:r w:rsidR="00C02187" w:rsidRPr="00FD62A0">
        <w:rPr>
          <w:rFonts w:ascii="Arial" w:hAnsi="Arial" w:cs="Arial"/>
          <w:sz w:val="22"/>
          <w:szCs w:val="22"/>
        </w:rPr>
        <w:t>SEBRAE</w:t>
      </w:r>
      <w:r w:rsidR="00903C48" w:rsidRPr="00FD62A0">
        <w:rPr>
          <w:rFonts w:ascii="Arial" w:hAnsi="Arial" w:cs="Arial"/>
          <w:sz w:val="22"/>
          <w:szCs w:val="22"/>
        </w:rPr>
        <w:t xml:space="preserve"> e </w:t>
      </w:r>
      <w:r w:rsidR="002A1169" w:rsidRPr="00FD62A0">
        <w:rPr>
          <w:rFonts w:ascii="Arial" w:hAnsi="Arial" w:cs="Arial"/>
          <w:sz w:val="22"/>
          <w:szCs w:val="22"/>
        </w:rPr>
        <w:t>SESC</w:t>
      </w:r>
      <w:r w:rsidR="00903C48" w:rsidRPr="00FD62A0">
        <w:rPr>
          <w:rFonts w:ascii="Arial" w:hAnsi="Arial" w:cs="Arial"/>
          <w:sz w:val="22"/>
          <w:szCs w:val="22"/>
        </w:rPr>
        <w:t>OOP</w:t>
      </w:r>
      <w:r w:rsidRPr="00FD62A0">
        <w:rPr>
          <w:rFonts w:ascii="Arial" w:hAnsi="Arial" w:cs="Arial"/>
          <w:sz w:val="22"/>
          <w:szCs w:val="22"/>
        </w:rPr>
        <w:t xml:space="preserve">. O projeto </w:t>
      </w:r>
      <w:r w:rsidR="00903C48" w:rsidRPr="00FD62A0">
        <w:rPr>
          <w:rFonts w:ascii="Arial" w:hAnsi="Arial" w:cs="Arial"/>
          <w:sz w:val="22"/>
          <w:szCs w:val="22"/>
        </w:rPr>
        <w:t xml:space="preserve">visa o enfretamento </w:t>
      </w:r>
      <w:r w:rsidRPr="00FD62A0">
        <w:rPr>
          <w:rFonts w:ascii="Arial" w:hAnsi="Arial" w:cs="Arial"/>
          <w:sz w:val="22"/>
          <w:szCs w:val="22"/>
        </w:rPr>
        <w:t>da exploração sexual por meio de um processo sócio-educativo</w:t>
      </w:r>
      <w:r w:rsidR="00903C48" w:rsidRPr="00FD62A0">
        <w:rPr>
          <w:rFonts w:ascii="Arial" w:hAnsi="Arial" w:cs="Arial"/>
          <w:sz w:val="22"/>
          <w:szCs w:val="22"/>
        </w:rPr>
        <w:t xml:space="preserve"> que culmina com a inserção social de adolescentes e jovens em situação de exploração sexual comercial</w:t>
      </w:r>
      <w:r w:rsidRPr="00FD62A0">
        <w:rPr>
          <w:rFonts w:ascii="Arial" w:hAnsi="Arial" w:cs="Arial"/>
          <w:sz w:val="22"/>
          <w:szCs w:val="22"/>
        </w:rPr>
        <w:t xml:space="preserve">. Este processo </w:t>
      </w:r>
      <w:r w:rsidR="00903C48" w:rsidRPr="00FD62A0">
        <w:rPr>
          <w:rFonts w:ascii="Arial" w:hAnsi="Arial" w:cs="Arial"/>
          <w:sz w:val="22"/>
          <w:szCs w:val="22"/>
        </w:rPr>
        <w:t>educativo, além de promover a elevação da escolaridade e a formação profissional de seu público alvo, eleva</w:t>
      </w:r>
      <w:r w:rsidRPr="00FD62A0">
        <w:rPr>
          <w:rFonts w:ascii="Arial" w:hAnsi="Arial" w:cs="Arial"/>
          <w:sz w:val="22"/>
          <w:szCs w:val="22"/>
        </w:rPr>
        <w:t xml:space="preserve"> </w:t>
      </w:r>
      <w:r w:rsidR="00903C48" w:rsidRPr="00FD62A0">
        <w:rPr>
          <w:rFonts w:ascii="Arial" w:hAnsi="Arial" w:cs="Arial"/>
          <w:sz w:val="22"/>
          <w:szCs w:val="22"/>
        </w:rPr>
        <w:t>a auto-estima, resgata valores e vínculos familiares a partir do atendimento psicossocial</w:t>
      </w:r>
      <w:r w:rsidRPr="00FD62A0">
        <w:rPr>
          <w:rFonts w:ascii="Arial" w:hAnsi="Arial" w:cs="Arial"/>
          <w:sz w:val="22"/>
          <w:szCs w:val="22"/>
        </w:rPr>
        <w:t>.</w:t>
      </w:r>
    </w:p>
    <w:p w:rsidR="001121B3" w:rsidRPr="00FD62A0" w:rsidRDefault="001121B3" w:rsidP="00BF4427">
      <w:pPr>
        <w:spacing w:line="360" w:lineRule="auto"/>
        <w:jc w:val="both"/>
        <w:rPr>
          <w:rFonts w:ascii="Arial" w:hAnsi="Arial" w:cs="Arial"/>
          <w:sz w:val="22"/>
          <w:szCs w:val="22"/>
        </w:rPr>
      </w:pPr>
      <w:r w:rsidRPr="00FD62A0">
        <w:rPr>
          <w:rFonts w:ascii="Arial" w:hAnsi="Arial" w:cs="Arial"/>
          <w:sz w:val="22"/>
          <w:szCs w:val="22"/>
        </w:rPr>
        <w:tab/>
        <w:t>Os próximos capítulos deste trabalho são desenvolvidos de forma a apresentar detalhadamente a estrutura e funcionamento dos principais órgãos envolvidos nos dois projetos. Além disso, são apresentados posteriormente dados relativos aos dois projetos, possibilitando assim uma análise de seus resultados.</w:t>
      </w:r>
    </w:p>
    <w:p w:rsidR="0086736E" w:rsidRPr="00FD62A0" w:rsidRDefault="0086736E" w:rsidP="00BF4427">
      <w:pPr>
        <w:spacing w:line="360" w:lineRule="auto"/>
        <w:jc w:val="both"/>
        <w:rPr>
          <w:rFonts w:ascii="Arial" w:hAnsi="Arial" w:cs="Arial"/>
          <w:b/>
          <w:sz w:val="22"/>
          <w:szCs w:val="22"/>
        </w:rPr>
      </w:pPr>
    </w:p>
    <w:p w:rsidR="0086736E" w:rsidRPr="00FD62A0" w:rsidRDefault="0086736E" w:rsidP="00BF4427">
      <w:pPr>
        <w:spacing w:line="360" w:lineRule="auto"/>
        <w:jc w:val="both"/>
        <w:rPr>
          <w:rFonts w:ascii="Arial" w:hAnsi="Arial" w:cs="Arial"/>
          <w:b/>
          <w:sz w:val="22"/>
          <w:szCs w:val="22"/>
        </w:rPr>
        <w:sectPr w:rsidR="0086736E" w:rsidRPr="00FD62A0" w:rsidSect="00875DFE">
          <w:footerReference w:type="default" r:id="rId12"/>
          <w:pgSz w:w="11906" w:h="16838"/>
          <w:pgMar w:top="1418" w:right="1418" w:bottom="1418" w:left="1474" w:header="709" w:footer="709" w:gutter="0"/>
          <w:pgNumType w:start="1"/>
          <w:cols w:space="708"/>
          <w:docGrid w:linePitch="360"/>
        </w:sectPr>
      </w:pPr>
    </w:p>
    <w:p w:rsidR="004D4298" w:rsidRPr="00FD62A0" w:rsidRDefault="003031E9" w:rsidP="00CF6DF3">
      <w:pPr>
        <w:widowControl w:val="0"/>
        <w:tabs>
          <w:tab w:val="left" w:pos="0"/>
        </w:tabs>
        <w:autoSpaceDE w:val="0"/>
        <w:autoSpaceDN w:val="0"/>
        <w:adjustRightInd w:val="0"/>
        <w:spacing w:line="360" w:lineRule="auto"/>
        <w:jc w:val="both"/>
        <w:rPr>
          <w:rFonts w:ascii="Arial" w:hAnsi="Arial" w:cs="Arial"/>
          <w:b/>
          <w:bCs/>
          <w:sz w:val="22"/>
          <w:szCs w:val="22"/>
        </w:rPr>
      </w:pPr>
      <w:r w:rsidRPr="00FD62A0">
        <w:rPr>
          <w:rFonts w:ascii="Arial" w:hAnsi="Arial" w:cs="Arial"/>
          <w:b/>
          <w:bCs/>
          <w:sz w:val="22"/>
          <w:szCs w:val="22"/>
        </w:rPr>
        <w:lastRenderedPageBreak/>
        <w:t>CAPÍTULO II:</w:t>
      </w:r>
      <w:r w:rsidR="004D4298" w:rsidRPr="00FD62A0">
        <w:rPr>
          <w:rFonts w:ascii="Arial" w:hAnsi="Arial" w:cs="Arial"/>
          <w:b/>
          <w:bCs/>
          <w:sz w:val="22"/>
          <w:szCs w:val="22"/>
        </w:rPr>
        <w:t xml:space="preserve"> </w:t>
      </w:r>
      <w:r w:rsidR="00F14B14" w:rsidRPr="00FD62A0">
        <w:rPr>
          <w:rFonts w:ascii="Arial" w:hAnsi="Arial" w:cs="Arial"/>
          <w:b/>
          <w:bCs/>
          <w:sz w:val="22"/>
          <w:szCs w:val="22"/>
        </w:rPr>
        <w:t>PARCERIAS PÚBLICO-PRIVADAS</w:t>
      </w:r>
    </w:p>
    <w:p w:rsidR="004D4298" w:rsidRPr="00FD62A0" w:rsidRDefault="004D4298" w:rsidP="00BF4427">
      <w:pPr>
        <w:pStyle w:val="Recuodecorpodetexto31"/>
        <w:spacing w:line="360" w:lineRule="auto"/>
        <w:ind w:firstLine="709"/>
        <w:rPr>
          <w:rFonts w:ascii="Times New Roman" w:hAnsi="Times New Roman"/>
          <w:color w:val="auto"/>
          <w:sz w:val="22"/>
          <w:szCs w:val="22"/>
        </w:rPr>
      </w:pPr>
    </w:p>
    <w:p w:rsidR="00EC76C1"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xml:space="preserve">A questão da exploração sexual de jovens e crianças no Brasil caracteriza-se como um problema de difícil enfrentamento, estando atrelado ao contexto histórico e realidade social do país. </w:t>
      </w:r>
      <w:r w:rsidR="004946F9" w:rsidRPr="00FD62A0">
        <w:rPr>
          <w:rFonts w:ascii="Arial" w:hAnsi="Arial" w:cs="Arial"/>
          <w:sz w:val="22"/>
          <w:szCs w:val="22"/>
        </w:rPr>
        <w:t xml:space="preserve">A </w:t>
      </w:r>
      <w:r w:rsidR="00EC76C1" w:rsidRPr="00FD62A0">
        <w:rPr>
          <w:rFonts w:ascii="Arial" w:hAnsi="Arial" w:cs="Arial"/>
          <w:sz w:val="22"/>
          <w:szCs w:val="22"/>
        </w:rPr>
        <w:t>situação</w:t>
      </w:r>
      <w:r w:rsidR="004946F9" w:rsidRPr="00FD62A0">
        <w:rPr>
          <w:rFonts w:ascii="Arial" w:hAnsi="Arial" w:cs="Arial"/>
          <w:sz w:val="22"/>
          <w:szCs w:val="22"/>
        </w:rPr>
        <w:t xml:space="preserve"> da exploração sexual no </w:t>
      </w:r>
      <w:r w:rsidR="004946F9" w:rsidRPr="00DB3FD5">
        <w:rPr>
          <w:rFonts w:ascii="Arial" w:hAnsi="Arial" w:cs="Arial"/>
          <w:sz w:val="22"/>
          <w:szCs w:val="22"/>
        </w:rPr>
        <w:t xml:space="preserve">Brasil </w:t>
      </w:r>
      <w:r w:rsidR="00E95C0A" w:rsidRPr="00DB3FD5">
        <w:rPr>
          <w:rFonts w:ascii="Arial" w:hAnsi="Arial" w:cs="Arial"/>
          <w:sz w:val="22"/>
          <w:szCs w:val="22"/>
        </w:rPr>
        <w:t xml:space="preserve">se </w:t>
      </w:r>
      <w:r w:rsidR="00DB3FD5" w:rsidRPr="00DB3FD5">
        <w:rPr>
          <w:rFonts w:ascii="Arial" w:hAnsi="Arial" w:cs="Arial"/>
          <w:sz w:val="22"/>
          <w:szCs w:val="22"/>
        </w:rPr>
        <w:t>revela</w:t>
      </w:r>
      <w:r w:rsidR="004946F9" w:rsidRPr="00DB3FD5">
        <w:rPr>
          <w:rFonts w:ascii="Arial" w:hAnsi="Arial" w:cs="Arial"/>
          <w:sz w:val="22"/>
          <w:szCs w:val="22"/>
        </w:rPr>
        <w:t xml:space="preserve"> como</w:t>
      </w:r>
      <w:r w:rsidR="004946F9" w:rsidRPr="00FD62A0">
        <w:rPr>
          <w:rFonts w:ascii="Arial" w:hAnsi="Arial" w:cs="Arial"/>
          <w:sz w:val="22"/>
          <w:szCs w:val="22"/>
        </w:rPr>
        <w:t xml:space="preserve"> uma questão de gênero, afetando predominantemente meninas. </w:t>
      </w:r>
      <w:r w:rsidR="00E95C0A" w:rsidRPr="00FD62A0">
        <w:rPr>
          <w:rFonts w:ascii="Arial" w:hAnsi="Arial" w:cs="Arial"/>
          <w:sz w:val="22"/>
          <w:szCs w:val="22"/>
        </w:rPr>
        <w:t>As vítimas têm</w:t>
      </w:r>
      <w:r w:rsidR="004946F9" w:rsidRPr="00FD62A0">
        <w:rPr>
          <w:rFonts w:ascii="Arial" w:hAnsi="Arial" w:cs="Arial"/>
          <w:sz w:val="22"/>
          <w:szCs w:val="22"/>
        </w:rPr>
        <w:t xml:space="preserve"> idade em geral, idade entre 14 e 18 anos, baixa renda e escolaridade</w:t>
      </w:r>
      <w:r w:rsidR="00EC76C1" w:rsidRPr="00FD62A0">
        <w:rPr>
          <w:rFonts w:ascii="Arial" w:hAnsi="Arial" w:cs="Arial"/>
          <w:sz w:val="22"/>
          <w:szCs w:val="22"/>
        </w:rPr>
        <w:t>.</w:t>
      </w:r>
      <w:r w:rsidR="00F4128B" w:rsidRPr="00FD62A0">
        <w:rPr>
          <w:rFonts w:ascii="Arial" w:hAnsi="Arial" w:cs="Arial"/>
          <w:sz w:val="22"/>
          <w:szCs w:val="22"/>
        </w:rPr>
        <w:t xml:space="preserve"> </w:t>
      </w:r>
      <w:r w:rsidR="00D364E3" w:rsidRPr="00FD62A0">
        <w:rPr>
          <w:rFonts w:ascii="Arial" w:hAnsi="Arial" w:cs="Arial"/>
          <w:sz w:val="22"/>
          <w:szCs w:val="22"/>
        </w:rPr>
        <w:t>Não se tem ao certo a quantidade de jovens e crianças exploradas, uma vez que a maioria dos que passam por essa situação não expõem o fato.</w:t>
      </w:r>
    </w:p>
    <w:p w:rsidR="004D4298" w:rsidRPr="00FD62A0" w:rsidRDefault="00EC76C1"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r>
      <w:r w:rsidR="004D4298" w:rsidRPr="00FD62A0">
        <w:rPr>
          <w:rFonts w:ascii="Arial" w:hAnsi="Arial" w:cs="Arial"/>
          <w:sz w:val="22"/>
          <w:szCs w:val="22"/>
        </w:rPr>
        <w:t xml:space="preserve">Tal </w:t>
      </w:r>
      <w:r w:rsidR="005C348C" w:rsidRPr="00FD62A0">
        <w:rPr>
          <w:rFonts w:ascii="Arial" w:hAnsi="Arial" w:cs="Arial"/>
          <w:sz w:val="22"/>
          <w:szCs w:val="22"/>
        </w:rPr>
        <w:t>situação</w:t>
      </w:r>
      <w:r w:rsidR="004D4298" w:rsidRPr="00FD62A0">
        <w:rPr>
          <w:rFonts w:ascii="Arial" w:hAnsi="Arial" w:cs="Arial"/>
          <w:sz w:val="22"/>
          <w:szCs w:val="22"/>
        </w:rPr>
        <w:t xml:space="preserve"> </w:t>
      </w:r>
      <w:r w:rsidR="00087727" w:rsidRPr="00FD62A0">
        <w:rPr>
          <w:rFonts w:ascii="Arial" w:hAnsi="Arial" w:cs="Arial"/>
          <w:sz w:val="22"/>
          <w:szCs w:val="22"/>
        </w:rPr>
        <w:t>deveria ser contem</w:t>
      </w:r>
      <w:r w:rsidR="00B53E3F" w:rsidRPr="00FD62A0">
        <w:rPr>
          <w:rFonts w:ascii="Arial" w:hAnsi="Arial" w:cs="Arial"/>
          <w:sz w:val="22"/>
          <w:szCs w:val="22"/>
        </w:rPr>
        <w:t>plada com maior empenho</w:t>
      </w:r>
      <w:r w:rsidR="004D4298" w:rsidRPr="00FD62A0">
        <w:rPr>
          <w:rFonts w:ascii="Arial" w:hAnsi="Arial" w:cs="Arial"/>
          <w:sz w:val="22"/>
          <w:szCs w:val="22"/>
        </w:rPr>
        <w:t xml:space="preserve"> pelos governos federal, estadual e municipal, tendendo a ficar em segundo plano no que tange à formulação das políticas públicas e à destinação dos orçamentos. Nos últimos anos, poucas iniciativas de maior impacto foram tomadas, tanto no cunho governamental, como no setor da sociedade civil.</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Apesar do cenário desfavorável à evolução dos esforços, duas iniciativas destacam-se, por sua relevância no combate e prevenção à exploração sexual </w:t>
      </w:r>
      <w:r w:rsidR="00A85E06">
        <w:rPr>
          <w:rFonts w:ascii="Arial" w:hAnsi="Arial" w:cs="Arial"/>
          <w:sz w:val="22"/>
          <w:szCs w:val="22"/>
        </w:rPr>
        <w:t>infantojuvenil</w:t>
      </w:r>
      <w:r w:rsidRPr="00FD62A0">
        <w:rPr>
          <w:rFonts w:ascii="Arial" w:hAnsi="Arial" w:cs="Arial"/>
          <w:sz w:val="22"/>
          <w:szCs w:val="22"/>
        </w:rPr>
        <w:t>. São elas</w:t>
      </w:r>
      <w:r w:rsidR="00E95C0A">
        <w:rPr>
          <w:rFonts w:ascii="Arial" w:hAnsi="Arial" w:cs="Arial"/>
          <w:sz w:val="22"/>
          <w:szCs w:val="22"/>
        </w:rPr>
        <w:t>:</w:t>
      </w:r>
      <w:r w:rsidRPr="00FD62A0">
        <w:rPr>
          <w:rFonts w:ascii="Arial" w:hAnsi="Arial" w:cs="Arial"/>
          <w:sz w:val="22"/>
          <w:szCs w:val="22"/>
        </w:rPr>
        <w:t xml:space="preserve"> a criação do Estatuto da Criança e do Adolescente em 1990 e a aprovação do Plano Nacional de Enfrentamento à </w:t>
      </w:r>
      <w:r w:rsidR="00F06E8D">
        <w:rPr>
          <w:rFonts w:ascii="Arial" w:hAnsi="Arial" w:cs="Arial"/>
          <w:sz w:val="22"/>
          <w:szCs w:val="22"/>
        </w:rPr>
        <w:t>Violência</w:t>
      </w:r>
      <w:r w:rsidRPr="00FD62A0">
        <w:rPr>
          <w:rFonts w:ascii="Arial" w:hAnsi="Arial" w:cs="Arial"/>
          <w:sz w:val="22"/>
          <w:szCs w:val="22"/>
        </w:rPr>
        <w:t xml:space="preserve"> Sexual </w:t>
      </w:r>
      <w:r w:rsidR="00F06E8D">
        <w:rPr>
          <w:rFonts w:ascii="Arial" w:hAnsi="Arial" w:cs="Arial"/>
          <w:sz w:val="22"/>
          <w:szCs w:val="22"/>
        </w:rPr>
        <w:t>,</w:t>
      </w:r>
      <w:r w:rsidRPr="00FD62A0">
        <w:rPr>
          <w:rFonts w:ascii="Arial" w:hAnsi="Arial" w:cs="Arial"/>
          <w:sz w:val="22"/>
          <w:szCs w:val="22"/>
        </w:rPr>
        <w:t xml:space="preserve"> em 2002. Em contraste </w:t>
      </w:r>
      <w:r w:rsidR="00E95C0A">
        <w:rPr>
          <w:rFonts w:ascii="Arial" w:hAnsi="Arial" w:cs="Arial"/>
          <w:sz w:val="22"/>
          <w:szCs w:val="22"/>
        </w:rPr>
        <w:t>a</w:t>
      </w:r>
      <w:r w:rsidRPr="00FD62A0">
        <w:rPr>
          <w:rFonts w:ascii="Arial" w:hAnsi="Arial" w:cs="Arial"/>
          <w:sz w:val="22"/>
          <w:szCs w:val="22"/>
        </w:rPr>
        <w:t xml:space="preserve"> essas ações de impacto, nota-se a apatia governamental no intuito de criar escopo legal que fortaleça o combate à exploração. O fato de haver uma década de distância entre o Plano e o Estatuto, reforça essa afirmação.</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Nesse sentido, o combate à exploração sexual de jovens e adolescentes mostra-se como campo fértil à implantação de políticas pautadas no modelo de parceria público privada. Tal padrão de atuação é eficaz devido ao fato de tanto governo quanto setor privado terem dificuldades de sozinhos resolverem o problema. Assim, a parceria toma a conotação de união de esforços de parceiros de setores diferentes em busca de um resultado comum. Entre as iniciativas tomadas recentemente no Brasil quanto ao combate à exploração sexual </w:t>
      </w:r>
      <w:r w:rsidR="00A85E06">
        <w:rPr>
          <w:rFonts w:ascii="Arial" w:hAnsi="Arial" w:cs="Arial"/>
          <w:sz w:val="22"/>
          <w:szCs w:val="22"/>
        </w:rPr>
        <w:t>infantojuvenil</w:t>
      </w:r>
      <w:r w:rsidRPr="00FD62A0">
        <w:rPr>
          <w:rFonts w:ascii="Arial" w:hAnsi="Arial" w:cs="Arial"/>
          <w:sz w:val="22"/>
          <w:szCs w:val="22"/>
        </w:rPr>
        <w:t>, este trabalho destaca os Projetos “</w:t>
      </w:r>
      <w:r w:rsidR="00C02187" w:rsidRPr="00FD62A0">
        <w:rPr>
          <w:rFonts w:ascii="Arial" w:hAnsi="Arial" w:cs="Arial"/>
          <w:sz w:val="22"/>
          <w:szCs w:val="22"/>
        </w:rPr>
        <w:t>ViraVida</w:t>
      </w:r>
      <w:r w:rsidRPr="00FD62A0">
        <w:rPr>
          <w:rFonts w:ascii="Arial" w:hAnsi="Arial" w:cs="Arial"/>
          <w:sz w:val="22"/>
          <w:szCs w:val="22"/>
        </w:rPr>
        <w:t>” e “Turismo Sustentável e Infância”.</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O termo parceria público-privada, que norteia este trabalho </w:t>
      </w:r>
      <w:r w:rsidR="00F659E2" w:rsidRPr="00FD62A0">
        <w:rPr>
          <w:rFonts w:ascii="Arial" w:hAnsi="Arial" w:cs="Arial"/>
          <w:sz w:val="22"/>
          <w:szCs w:val="22"/>
        </w:rPr>
        <w:t xml:space="preserve">é utilizado para apresentar ações que envolvem setor público e privado em busca de objetivo </w:t>
      </w:r>
      <w:r w:rsidR="007C105C" w:rsidRPr="00FD62A0">
        <w:rPr>
          <w:rFonts w:ascii="Arial" w:hAnsi="Arial" w:cs="Arial"/>
          <w:sz w:val="22"/>
          <w:szCs w:val="22"/>
        </w:rPr>
        <w:t xml:space="preserve">comum. Sendo assim, </w:t>
      </w:r>
      <w:r w:rsidRPr="00FD62A0">
        <w:rPr>
          <w:rFonts w:ascii="Arial" w:hAnsi="Arial" w:cs="Arial"/>
          <w:sz w:val="22"/>
          <w:szCs w:val="22"/>
        </w:rPr>
        <w:t>não abrange a conceituação legal da expressão, de acordo com a legislação brasileira</w:t>
      </w:r>
      <w:r w:rsidR="00F659E2" w:rsidRPr="00FD62A0">
        <w:rPr>
          <w:rFonts w:ascii="Arial" w:hAnsi="Arial" w:cs="Arial"/>
          <w:sz w:val="22"/>
          <w:szCs w:val="22"/>
        </w:rPr>
        <w:t>, uma vez que a mesma limita o termo em relação a prazos de execução, valores envolvidos, entre outros aspectos analisados a frente</w:t>
      </w:r>
      <w:r w:rsidRPr="00FD62A0">
        <w:rPr>
          <w:rFonts w:ascii="Arial" w:hAnsi="Arial" w:cs="Arial"/>
          <w:sz w:val="22"/>
          <w:szCs w:val="22"/>
        </w:rPr>
        <w:t>. Neste sentido, cabe apresentar sua conceituação e histórico, assim como os aspectos envolvidos. Tal análise se faz necessária para o entendimento do uso das parcerias de modo geral no Brasil e no Mundo, e de forma específica, para compreender sua necessidade em projetos como os supramencionados.</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lastRenderedPageBreak/>
        <w:tab/>
        <w:t xml:space="preserve"> No cenário internacional, o termo “parceria público-privada” é usado genericamente, abordando de forma ampla os projetos que envolvem setor público e setor privado, </w:t>
      </w:r>
      <w:smartTag w:uri="urn:schemas-microsoft-com:office:smarttags" w:element="PersonName">
        <w:smartTagPr>
          <w:attr w:name="ProductID" w:val="em parceria. No Brasil"/>
        </w:smartTagPr>
        <w:r w:rsidRPr="00FD62A0">
          <w:rPr>
            <w:rFonts w:ascii="Arial" w:hAnsi="Arial" w:cs="Arial"/>
            <w:sz w:val="22"/>
            <w:szCs w:val="22"/>
          </w:rPr>
          <w:t>em parceria. No Brasil</w:t>
        </w:r>
      </w:smartTag>
      <w:r w:rsidRPr="00FD62A0">
        <w:rPr>
          <w:rFonts w:ascii="Arial" w:hAnsi="Arial" w:cs="Arial"/>
          <w:sz w:val="22"/>
          <w:szCs w:val="22"/>
        </w:rPr>
        <w:t>, entretanto, para que um Projeto seja enquadrado legalmente como parceria público-privada é necessário que possua as seguintes características:</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I – o prazo de vigência do contrato, compatível com a amortização dos investimentos realizados, não inferior a 5 (cinco), nem superior a 35 (trinta e cinco) anos, incluindo eventual prorrogação;</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II – as penalidades aplicáveis à Administração Pública e ao parceiro privado em caso de inadimplemento contratual, fixadas sempre de forma proporcional à gravidade da falta cometida, e às obrigações assumidas;</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III – a repartição de riscos entre as partes, inclusive os referentes a caso fortuito</w:t>
      </w:r>
      <w:r w:rsidR="00117BAF">
        <w:rPr>
          <w:rFonts w:ascii="Arial" w:hAnsi="Arial" w:cs="Arial"/>
          <w:sz w:val="20"/>
          <w:szCs w:val="20"/>
        </w:rPr>
        <w:t>, por</w:t>
      </w:r>
      <w:r w:rsidRPr="00FD62A0">
        <w:rPr>
          <w:rFonts w:ascii="Arial" w:hAnsi="Arial" w:cs="Arial"/>
          <w:sz w:val="20"/>
          <w:szCs w:val="20"/>
        </w:rPr>
        <w:t xml:space="preserve"> força maio</w:t>
      </w:r>
      <w:r w:rsidR="00117BAF">
        <w:rPr>
          <w:rFonts w:ascii="Arial" w:hAnsi="Arial" w:cs="Arial"/>
          <w:sz w:val="20"/>
          <w:szCs w:val="20"/>
        </w:rPr>
        <w:t>r</w:t>
      </w:r>
      <w:r w:rsidRPr="00FD62A0">
        <w:rPr>
          <w:rFonts w:ascii="Arial" w:hAnsi="Arial" w:cs="Arial"/>
          <w:sz w:val="20"/>
          <w:szCs w:val="20"/>
        </w:rPr>
        <w:t>;</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 xml:space="preserve"> IV – as formas de remuneração e de atualização dos valores contratuais;</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V – os mecanismos para a preservação da atualidade da prestação dos serviços;</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VI – os fatos que caracterizem a inadimplência pecuniária do parceiro público, os modos e o prazo de regularização e, quando houver, a forma de acionamento da garantia;</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VII – os critérios objetivos de avaliação do desempenho do parceiro privado;</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VIII – a prestação, pelo parceiro privado, de garantias de execução suficientes e compatíveis com os ônus e riscos envolvidos, (...);</w:t>
      </w:r>
    </w:p>
    <w:p w:rsidR="004D4298" w:rsidRPr="00FD62A0" w:rsidRDefault="004D4298" w:rsidP="00BF4427">
      <w:pPr>
        <w:pStyle w:val="NormalWeb"/>
        <w:spacing w:before="0" w:beforeAutospacing="0" w:after="0" w:afterAutospacing="0" w:line="360" w:lineRule="auto"/>
        <w:ind w:left="709"/>
        <w:jc w:val="both"/>
        <w:rPr>
          <w:rFonts w:ascii="Arial" w:hAnsi="Arial" w:cs="Arial"/>
          <w:sz w:val="20"/>
          <w:szCs w:val="20"/>
        </w:rPr>
      </w:pPr>
      <w:r w:rsidRPr="00FD62A0">
        <w:rPr>
          <w:rFonts w:ascii="Arial" w:hAnsi="Arial" w:cs="Arial"/>
          <w:sz w:val="20"/>
          <w:szCs w:val="20"/>
        </w:rPr>
        <w:t>IX – o compartilhamento com a Administração Pública de ganhos econômicos efetivos do parceiro privado decorrentes da redução do risco de crédito dos financiamentos utilizados pelo parceiro privado;</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X – a realização de vistoria dos bens reversíveis, podendo o parceiro público reter os pagamentos ao parceiro privado, no valor necessário para reparar as irregularidades eventualmente detectadas (Lei nº 11.079/04)</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Apesar disso, o termo é corriqueiramente utilizado para descrever atividades que envolvem simultaneamente o setor público e o setor privado em parceria, na busca da satisfação de necessidades da sociedade. Nesse sentido, podem ser apontados como parcerias entre os setores público e privado as modalidades de convênio, </w:t>
      </w:r>
      <w:r w:rsidRPr="00FD62A0">
        <w:rPr>
          <w:rFonts w:ascii="Arial" w:hAnsi="Arial" w:cs="Arial"/>
          <w:i/>
          <w:iCs/>
          <w:sz w:val="22"/>
          <w:szCs w:val="22"/>
        </w:rPr>
        <w:t>joint-ventures</w:t>
      </w:r>
      <w:r w:rsidRPr="00FD62A0">
        <w:rPr>
          <w:rFonts w:ascii="Arial" w:hAnsi="Arial" w:cs="Arial"/>
          <w:sz w:val="22"/>
          <w:szCs w:val="22"/>
        </w:rPr>
        <w:t xml:space="preserve">, acordos, termos de cooperação técnica, acordos de cooperação, entre outras. O termo parceria norteia este trabalho, no que tange ao projeto </w:t>
      </w:r>
      <w:r w:rsidR="00C02187" w:rsidRPr="00FD62A0">
        <w:rPr>
          <w:rFonts w:ascii="Arial" w:hAnsi="Arial" w:cs="Arial"/>
          <w:sz w:val="22"/>
          <w:szCs w:val="22"/>
        </w:rPr>
        <w:t>ViraVida</w:t>
      </w:r>
      <w:r w:rsidRPr="00FD62A0">
        <w:rPr>
          <w:rFonts w:ascii="Arial" w:hAnsi="Arial" w:cs="Arial"/>
          <w:sz w:val="22"/>
          <w:szCs w:val="22"/>
        </w:rPr>
        <w:t xml:space="preserve"> e ao projeto Turismo Sustentável e Infância, que são formados essencialmente por convênios. </w:t>
      </w:r>
    </w:p>
    <w:p w:rsidR="00DB3FD5"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Conceitualmente, a parceria público-privada é uma forma de concessão onde a Administração Pública transfere a entidades privadas a prestação de serviços públicos. A remuneração pelo serviço prestado pode ser feita pelos usuários, usuários e setor público, ou somente pelo setor público. De forma simplificada, a parceria é entendida como o conjunto de condições estabelecidas entre empresas e instituições em busca da realização </w:t>
      </w:r>
      <w:r w:rsidRPr="00FD62A0">
        <w:rPr>
          <w:rFonts w:ascii="Arial" w:hAnsi="Arial" w:cs="Arial"/>
          <w:sz w:val="22"/>
          <w:szCs w:val="22"/>
        </w:rPr>
        <w:lastRenderedPageBreak/>
        <w:t xml:space="preserve">do bem </w:t>
      </w:r>
      <w:r w:rsidRPr="00EC6AA7">
        <w:rPr>
          <w:rFonts w:ascii="Arial" w:hAnsi="Arial" w:cs="Arial"/>
          <w:sz w:val="22"/>
          <w:szCs w:val="22"/>
        </w:rPr>
        <w:t xml:space="preserve">comum. </w:t>
      </w:r>
      <w:r w:rsidR="006E04EE" w:rsidRPr="00EC6AA7">
        <w:rPr>
          <w:rFonts w:ascii="Arial" w:hAnsi="Arial" w:cs="Arial"/>
          <w:sz w:val="22"/>
          <w:szCs w:val="22"/>
        </w:rPr>
        <w:t xml:space="preserve"> À primeira vista, a parceria pode parecer uma simples transferência de obrigações e recursos do parceiro público ao privado. Entretanto, o Estado continua a ser responsável por atender as necessidades dos cidadãos. Embora haja repartição de tarefas e/ou riscos, o setor público continua a ser o responsável, diferindo da privatização, onde a entidade é autônoma.</w:t>
      </w:r>
      <w:r w:rsidR="00DB3FD5" w:rsidRPr="00EC6AA7">
        <w:rPr>
          <w:rFonts w:ascii="Arial" w:hAnsi="Arial" w:cs="Arial"/>
          <w:sz w:val="22"/>
          <w:szCs w:val="22"/>
        </w:rPr>
        <w:t xml:space="preserve"> Especificamente no caso dos projetos em estudo, as obrigações do Estado são bem definidas. É o poder público que faz o atendimento jurídico; o tratamento de dependência química; o abrigamento (albergue, moradia temporária) e a proteção a testemunhas, entre outros serviços aos adolescentes e jovens </w:t>
      </w:r>
      <w:r w:rsidR="00EC6AA7" w:rsidRPr="00EC6AA7">
        <w:rPr>
          <w:rFonts w:ascii="Arial" w:hAnsi="Arial" w:cs="Arial"/>
          <w:sz w:val="22"/>
          <w:szCs w:val="22"/>
        </w:rPr>
        <w:t>em situação de exploração sexual, que em geral não apresentam renda.</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bCs/>
          <w:sz w:val="22"/>
          <w:szCs w:val="22"/>
        </w:rPr>
        <w:tab/>
        <w:t xml:space="preserve">No Brasil, </w:t>
      </w:r>
      <w:r w:rsidR="00EC6AA7">
        <w:rPr>
          <w:rFonts w:ascii="Arial" w:hAnsi="Arial" w:cs="Arial"/>
          <w:bCs/>
          <w:sz w:val="22"/>
          <w:szCs w:val="22"/>
        </w:rPr>
        <w:t>as Parcerias Público-Privadas tê</w:t>
      </w:r>
      <w:r w:rsidRPr="00FD62A0">
        <w:rPr>
          <w:rFonts w:ascii="Arial" w:hAnsi="Arial" w:cs="Arial"/>
          <w:bCs/>
          <w:sz w:val="22"/>
          <w:szCs w:val="22"/>
        </w:rPr>
        <w:t>m como principais referências legais a Lei Federal de PPP, a Lei de Licitação, a Lei de Concessões e Permissões e a Legislação Ambiental. As duas modalidades previstas na Lei de PPP são</w:t>
      </w:r>
      <w:r w:rsidRPr="00FD62A0">
        <w:rPr>
          <w:rFonts w:ascii="Arial" w:hAnsi="Arial" w:cs="Arial"/>
          <w:sz w:val="22"/>
          <w:szCs w:val="22"/>
        </w:rPr>
        <w:t xml:space="preserve"> a concessão patrocinada e a concessão administrativa.</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A concessão patrocinada trata da concessão de serviços ou obras públicas. Essa modalidade caracteriza por haver, além da tarifa cobrada dos usuários, a contraprestação pecuniária por parte do parceiro público ao privado. A contraprestação, neste caso, ocorre via de regra apenas depois da realização do serviço. Entretanto, existe a possibilidade de efetuar pagamentos mediante parcelas entregues do serviço, devendo tais pagamentos ser estipulados </w:t>
      </w:r>
      <w:smartTag w:uri="urn:schemas-microsoft-com:office:smarttags" w:element="PersonName">
        <w:smartTagPr>
          <w:attr w:name="ProductID" w:val="em contrato. A"/>
        </w:smartTagPr>
        <w:r w:rsidRPr="00FD62A0">
          <w:rPr>
            <w:rFonts w:ascii="Arial" w:hAnsi="Arial" w:cs="Arial"/>
            <w:sz w:val="22"/>
            <w:szCs w:val="22"/>
          </w:rPr>
          <w:t>em contrato. A</w:t>
        </w:r>
      </w:smartTag>
      <w:r w:rsidRPr="00FD62A0">
        <w:rPr>
          <w:rFonts w:ascii="Arial" w:hAnsi="Arial" w:cs="Arial"/>
          <w:sz w:val="22"/>
          <w:szCs w:val="22"/>
        </w:rPr>
        <w:t xml:space="preserve"> concessão administrativa, por sua vez, tem administração pública como usuária direta ou indireta, sendo totalmente remunerada pelo setor público. (Lei nº 8.987/95)</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Além dos modelos de parceria propostos pela Lei das PPPs, que são a concessão patrocinada e a concessão administrativa, cabe destacar que existem ainda duas outras modalidades </w:t>
      </w:r>
      <w:r w:rsidR="007B3E03">
        <w:rPr>
          <w:rFonts w:ascii="Arial" w:hAnsi="Arial" w:cs="Arial"/>
          <w:sz w:val="22"/>
          <w:szCs w:val="22"/>
        </w:rPr>
        <w:t xml:space="preserve">de transferências de serviços </w:t>
      </w:r>
      <w:r w:rsidRPr="00FD62A0">
        <w:rPr>
          <w:rFonts w:ascii="Arial" w:hAnsi="Arial" w:cs="Arial"/>
          <w:sz w:val="22"/>
          <w:szCs w:val="22"/>
        </w:rPr>
        <w:t>anteriores a essas, sendo elas a concessão tradicional e a terceirização. Esses dois modelos, entretanto, não podem ser caracterizados como parceria público-privada, sendo limitados pela transferência de recursos e pela finalidade: na concessão tradicional não há contraprestação pecuniária do parceiro público ao privado e na terceirização a finalidade é exclusivamente a contratação de mão de obra. De acordo com a Lei nº 8.987, de 13 de fevereiro de 1995, por concessão tradicional entende-se:</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concessão de serviço público: a delegação de sua prestação, feita pelo poder concedente, mediante licitação, na modalidade de concorrência, à pessoa jurídica ou consórcio de empresas que demonstre capacidade para seu desempenho, por sua conta e risco e por prazo determinado. (Lei nº 8.987, de 13 de fevereiro de 1995)</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 terceirização por sua vez é entendida como a entrega de atividades a terceiros. Ou seja, transfere-se a um parceiro especializado em determinada área a produção ou atividade que por diversas razões não pode ser desempenhada pel</w:t>
      </w:r>
      <w:r w:rsidR="007B3E03">
        <w:rPr>
          <w:rFonts w:ascii="Arial" w:hAnsi="Arial" w:cs="Arial"/>
          <w:sz w:val="22"/>
          <w:szCs w:val="22"/>
        </w:rPr>
        <w:t xml:space="preserve">a empresa ou órgão </w:t>
      </w:r>
      <w:r w:rsidR="007B3E03">
        <w:rPr>
          <w:rFonts w:ascii="Arial" w:hAnsi="Arial" w:cs="Arial"/>
          <w:sz w:val="22"/>
          <w:szCs w:val="22"/>
        </w:rPr>
        <w:lastRenderedPageBreak/>
        <w:t xml:space="preserve">contratante, </w:t>
      </w:r>
      <w:r w:rsidR="007B3E03" w:rsidRPr="00EC6AA7">
        <w:rPr>
          <w:rFonts w:ascii="Arial" w:hAnsi="Arial" w:cs="Arial"/>
          <w:sz w:val="22"/>
          <w:szCs w:val="22"/>
        </w:rPr>
        <w:t>ou seja, trata-se da contratação de um serviço.</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De fato, as parcerias público-privadas são um tipo de concessão de serviços públicos, onde há obrigatoriamente envio de dinheiro do parceiro público ao privado. Em contrapartida, tais parcerias podem ser vistas como forma de financiamento para o setor público, uma vez que fica o parceiro privado responsável pelos custos de implantação e operação do serviço prestado. Segundo Lewis, tal parceria é um empreendimento entre o Estado e o setor privado, e possui o respaldo de ambas as partes. (Lewis, 2001)</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A parceria público-privada por si só, não tem sucesso assegurado. Peci e Sobral ressaltam que a regulamentação existente acerca das parcerias não </w:t>
      </w:r>
      <w:r w:rsidR="00A23424" w:rsidRPr="00FD62A0">
        <w:rPr>
          <w:rFonts w:ascii="Arial" w:hAnsi="Arial" w:cs="Arial"/>
          <w:sz w:val="22"/>
          <w:szCs w:val="22"/>
        </w:rPr>
        <w:t>é</w:t>
      </w:r>
      <w:r w:rsidRPr="00FD62A0">
        <w:rPr>
          <w:rFonts w:ascii="Arial" w:hAnsi="Arial" w:cs="Arial"/>
          <w:sz w:val="22"/>
          <w:szCs w:val="22"/>
        </w:rPr>
        <w:t xml:space="preserve"> suficiente para atrair o interesse do setor privado (Peci e Sobral, 2008). Nesse sentido, de acordo com Viviane Gil Franco, para que se estabeleça projeto de parceria exitoso, é necessário que se cumpra uma série de pré-requisitos, entre os quais cabe mencionar os requisitos legais e regulatórios; o apoio político; a identificação dos projetos de parceria; as questões de contratação; e o gerenciamento de Projetos PPPs. (Franco, 2007)</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No que compete à questão regulatória e à estrutura legal, são fatores relevantes a capacidade legal do Estado para contratar; a existência de legislação que regulamente a participação efetiva do setor privado; as alternativas para resolução de conflitos assim como o desenvolvimento de estruturas institucionais. Nesse quesito, Borges e Neves afirmam que o concessionário deve se responsabilizar perante o projeto,</w:t>
      </w:r>
      <w:r w:rsidR="00704FB0">
        <w:rPr>
          <w:rFonts w:ascii="Arial" w:hAnsi="Arial" w:cs="Arial"/>
          <w:sz w:val="22"/>
          <w:szCs w:val="22"/>
        </w:rPr>
        <w:t xml:space="preserve"> </w:t>
      </w:r>
      <w:r w:rsidRPr="00FD62A0">
        <w:rPr>
          <w:rFonts w:ascii="Arial" w:hAnsi="Arial" w:cs="Arial"/>
          <w:sz w:val="22"/>
          <w:szCs w:val="22"/>
        </w:rPr>
        <w:t>seja civil, ou administrativamente. (Borges e Neves, 2005)</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Quanto ao apoio político, destaca-se que o setor público, antes de estabelecer um projeto de PPP, deve considerar os fatores políticos envolvidos. Há de se levar em conta que interesses diversos podem influenciar negativamente na constituição do projeto, prejudicando sua implementação e andamento. Além disso, os possíveis parceiros devem certificar-se de que haja comprometimento político em relação ao projeto e ainda, buscar estabelecer abordagem unificada que exprima o consenso entre os envolvidos. (Franco, 2007)</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Em relação à identificação de projetos, é importante que o governo esteja atento a viabilidade dos mesmos. Deve-se considerar os custos e benefícios envolvidos e compará-los a alternativas tradicionalmente utilizadas. Além disso, o setor público deve analisar a adequação, conveniência e capacidade de implementar e gerir o projeto. Um fator a se considerar é que via de regra, os projetos feitos exclusivamente pelo setor público custam menos que as parcerias. (Kee; Forrer, 2002)</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Outro aspecto relevante em relação aos projetos de PPP, diz respeito à sua contratação. É importante que exista transparência e igualdade de tratamento durante todo o processo de contratação do projeto, que deve ser executado da maneira mais eficiente </w:t>
      </w:r>
      <w:r w:rsidRPr="00FD62A0">
        <w:rPr>
          <w:rFonts w:ascii="Arial" w:hAnsi="Arial" w:cs="Arial"/>
          <w:sz w:val="22"/>
          <w:szCs w:val="22"/>
        </w:rPr>
        <w:lastRenderedPageBreak/>
        <w:t xml:space="preserve">possível. </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No tocante ao gerenciamento dos projetos, merecem destaque diversos aspectos, entre eles: o setor público deve buscar estabelecer relacionamento eficaz com o setor privado criando capacidade de negociar; a equipe responsável pelo projeto deve ser formada preferencialmente por pessoas que tenham conhecimento sólido sobre o projeto; e monitoramento constante do projeto tanto pelo parceiro público quanto pelo privado. </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Nesse mesmo sentido, a Lei nº 11.079/04, no intuito de assegurar bons resultados, estabelece os princípios a seguir:</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I – eficiência no cumprimento das missões de Estado e no emprego dos recursos da sociedade;</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II – respeito aos interesses e direitos dos destinatários dos serviços e dos entes privados incumbidos da sua realização;</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III – indelegabilidade das funções de regulação, jurisdicional, do exercício do poder de polícia e de outras atividades exclusivas do Estado;</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IV – responsabilidade fiscal na celebração e execução das parcerias;</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V – transparência dos procedimentos e das decisões;</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VI – repartição objetiva dos riscos entre as partes;</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VII – sustentabilidade financeira e vantagens sócio-econômicas dos projetos de parceria. (Lei nº 11.079/04)</w:t>
      </w:r>
    </w:p>
    <w:p w:rsidR="004D4298" w:rsidRPr="00FD62A0" w:rsidRDefault="004D4298" w:rsidP="00BF4427">
      <w:pPr>
        <w:widowControl w:val="0"/>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Em acordo com tais diretrizes, a Comissão Europeia destaca algumas características presentes nas parcerias, tais como a duração do projeto, o tipo de financiamento, o papel do agente econômico e a distribuição dos riscos entre as diretrizes que delimitam o conceito das parcerias público-privadas. A respeito da duração, estabelece-se que seja longa, uma vez que trata da cooperação sobre diversos aspectos do projeto. Sobre o tipo de financiamento, a Comissão Europeia destaca que deve ser feito pelo parceiro privado, entretanto afirma que isso não impede que por vezes haja participação do parceiro público com valores expressivos. (Comissão Europeia, 2004)</w:t>
      </w:r>
    </w:p>
    <w:p w:rsidR="004D4298" w:rsidRPr="00FD62A0" w:rsidRDefault="004D4298" w:rsidP="00BF4427">
      <w:pPr>
        <w:widowControl w:val="0"/>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Quanto ao papel do agente econômico, ressalta-se que é importante por sua atuação constante no projeto, em sua concepção, realização, aplicação e financiamento. No tocante à distribuição dos riscos, estima-se que estes sejam divididos entre os setores público e privado, apesar de serem assumidos de forma geral pelo parceiro privado. Isso, entretanto, não funciona como regra, uma vez que os riscos são distribuídos caso a caso, respeitando-se a capacidade das partes envolvidas. (Comissão Europeia, 2004)</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Apesar de haver um padrão de parcerias público-privadas, para que estas dêem resultados, é necessário que haja planejamento, na forma da articulação institucional. Tal articulação é feita em três etapas: Planejamento, execução das ações e eventos e o acompanhamento das ações desenvolvidas. (Benevides</w:t>
      </w:r>
      <w:r w:rsidR="00F015E2" w:rsidRPr="00FD62A0">
        <w:rPr>
          <w:rFonts w:ascii="Arial" w:hAnsi="Arial" w:cs="Arial"/>
          <w:sz w:val="22"/>
          <w:szCs w:val="22"/>
        </w:rPr>
        <w:t>, 2001</w:t>
      </w:r>
      <w:r w:rsidRPr="00FD62A0">
        <w:rPr>
          <w:rFonts w:ascii="Arial" w:hAnsi="Arial" w:cs="Arial"/>
          <w:sz w:val="22"/>
          <w:szCs w:val="22"/>
        </w:rPr>
        <w:t>)</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lastRenderedPageBreak/>
        <w:tab/>
        <w:t>Na fase do planejamento, deve-se buscar a afinidade de opiniões em relação à proposta. É nessa fase que são efetuados acordos no que diz respeito aos princípios e objetivos, além de estabelecer as formas de ação que nortearão o projeto. Na execução por sua vez, é visada a viabilização de eventos e atividades, buscando-se promover também a participação efetiva das instituições envolvidas. A etapa de acompanhamento, por sua vez, se dá após o planejamento e implementação do projeto, ocorrendo em conjunto com a execução. Trata-se da análise dos resultados, do norteamento do projeto de forma a se alcançar os objetivos propostos inicialmente. (Benevides</w:t>
      </w:r>
      <w:r w:rsidR="00F015E2" w:rsidRPr="00FD62A0">
        <w:rPr>
          <w:rFonts w:ascii="Arial" w:hAnsi="Arial" w:cs="Arial"/>
          <w:sz w:val="22"/>
          <w:szCs w:val="22"/>
        </w:rPr>
        <w:t>, 2001</w:t>
      </w:r>
      <w:r w:rsidRPr="00FD62A0">
        <w:rPr>
          <w:rFonts w:ascii="Arial" w:hAnsi="Arial" w:cs="Arial"/>
          <w:sz w:val="22"/>
          <w:szCs w:val="22"/>
        </w:rPr>
        <w:t>)</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As parcerias público-privadas de modo geral são bem recebidas, pois na maioria das vezes são vistas como um jogo de ganha-ganha entre setor privado, governo e sociedade. Para o setor privado a parceria possibilita a entrada em áreas antes restritas ao governo, aumentando a possibilidade de negócios. Para o setor público, há o aumento da eficiência, eficácia e efetividade, ao ministrar conceitos de gestão do setor privado. A sociedade, por sua vez ganha com a obtenção de serviços públicos melhores, além de ver atendidas certas demandas por vezes menos priorizadas pelo setor público. (Fundo Monetário Internacional, 2004)</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Entre os aspectos positivos das parcerias, são listados a inovação, a otimização do custo e da vida útil e a divisão de responsabilidades. (Fundo Monetário Internacional, 2004)</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No quesito da inovação, compete ao parceiro privado oferecer alternativas inovadoras para fornecer o serviço/produto da forma estabelecida pelo setor público. Ou seja, o governo é responsável por apresentar o ponto a ser trabalhado, assim como o objetivo que deseja alcançar e o parceiro privado fica responsável por desenvolver o projeto de forma a suprir essas necessidades.  </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Quanto à otimização do custo e da vida útil, por ser o parceiro privado o responsável por desenvolver o projeto, as responsabilidades pelas diversas fases são concentradas em um único ator. Dessa forma, o parceiro privado busca atingir suas metas reduzindo seus custos e possibilitando a maior eficiência para o projeto. Tal maximização dos benefícios seria dificultada em um projeto levado exclusivamente pelo setor público, uma vez que cada fase seria desenvolvida por agentes diferentes dentro do governo.</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Ao analisar a divisão de responsabilidades, é possível perceber que esta é bem delimitada dentro de uma PPP. Isso ocorre porque na parceria público-privada o parceiro público geralmente fica responsável por delimitar o projeto, enquanto compete ao parceiro privado a sua construção, execução e manutenção. Tal divisão de tarefas delimita mais claramente as responsabilidades das partes envolvidas.</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Por outro lado, há aspectos vistos como negativos ao se firmar um projeto em parceria público-privada. Entre eles, destaca-se os riscos envolvidos, o ajuste contratual, o </w:t>
      </w:r>
      <w:r w:rsidRPr="00FD62A0">
        <w:rPr>
          <w:rFonts w:ascii="Arial" w:hAnsi="Arial" w:cs="Arial"/>
          <w:sz w:val="22"/>
          <w:szCs w:val="22"/>
        </w:rPr>
        <w:lastRenderedPageBreak/>
        <w:t>custo das transações e o conflito de interesses. (Fundo Monetário Internacional, 2004)</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Quanto aos riscos, o FMI destaca que são cinco os principais, sendo eles relacionados </w:t>
      </w:r>
      <w:r w:rsidR="00704FB0">
        <w:rPr>
          <w:rFonts w:ascii="Arial" w:hAnsi="Arial" w:cs="Arial"/>
          <w:sz w:val="22"/>
          <w:szCs w:val="22"/>
        </w:rPr>
        <w:t>à</w:t>
      </w:r>
      <w:r w:rsidRPr="00FD62A0">
        <w:rPr>
          <w:rFonts w:ascii="Arial" w:hAnsi="Arial" w:cs="Arial"/>
          <w:sz w:val="22"/>
          <w:szCs w:val="22"/>
        </w:rPr>
        <w:t xml:space="preserve"> construção, ao financiamento, à performance, à demanda e ao valor residual. Segundo o Fundo, enquanto o envio de recursos por parte dos parceiros ou a alteração na responsabilidade gerencial podem ser considerados fatores positivos, a transferência de riscos se torna necessária. Dessa forma os riscos são amplamente repassados ao setor privado, tornando os resultados do projeto incertos para o parceiro privado</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Os custos do projeto são outro aspecto a se considerar, devido aos riscos envolvidos. Para transferir os riscos ao setor privado, por considerar que este estará mais apto a solucioná-los, o governo tem de apreçá-los. Nesse sentido, por vezes, os juros pagos pelo setor público acabam sendo maiores do que em transações que tradicionalmente envolvem apenas o governo.</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O conflito de interesses também é outra constante nos projetos de parceria. Os parceiros nem sempre alcançam consenso sobre o projeto. Desse modo, cada parte trabalha de forma a alcançar seus objetivos, podendo por vezes prejudicar o andamento do projeto.</w:t>
      </w:r>
    </w:p>
    <w:p w:rsidR="00FD7F70" w:rsidRPr="00FD62A0" w:rsidRDefault="00FD7F70" w:rsidP="00BF4427">
      <w:pPr>
        <w:widowControl w:val="0"/>
        <w:tabs>
          <w:tab w:val="left" w:pos="851"/>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2.1. Contexto das parcerias público-privadas no Brasil e no mundo</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xml:space="preserve">De acordo com a pesquisa </w:t>
      </w:r>
      <w:r w:rsidRPr="00FD62A0">
        <w:rPr>
          <w:rFonts w:ascii="Arial" w:hAnsi="Arial" w:cs="Arial"/>
          <w:i/>
          <w:sz w:val="22"/>
          <w:szCs w:val="22"/>
        </w:rPr>
        <w:t>PPP International,</w:t>
      </w:r>
      <w:r w:rsidRPr="00FD62A0">
        <w:rPr>
          <w:rFonts w:ascii="Arial" w:hAnsi="Arial" w:cs="Arial"/>
          <w:sz w:val="22"/>
          <w:szCs w:val="22"/>
        </w:rPr>
        <w:t xml:space="preserve"> realizada em 2006 por Pierre Berheim e por Alexix Duprez, o formato das parcerias público-privadas se adapta historicamente às realidades econômicas e sociais dos países em que são implementadas. O referido estudo foi feito com base em entrevistas com representantes tanto do setor público quanto do setor privado, de onze países, a saber: França, Reino Unido, Brasil, Canadá, Estados Unidos, México, China, Índia, Japão, África do Sul e Marrocos</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O critério para escolha dos países que participariam da pesquisa foi baseado em quatro requisitos: experiência existente em parceria público-privada, capacidade de realização de projetos complexos, demanda por serviços públicos e demanda por projetos de infra-estrutura. Os setores focados pela pesquisa foram os comumente visados por projetos de parceria</w:t>
      </w:r>
      <w:r w:rsidR="00704FB0">
        <w:rPr>
          <w:rFonts w:ascii="Arial" w:hAnsi="Arial" w:cs="Arial"/>
          <w:sz w:val="22"/>
          <w:szCs w:val="22"/>
        </w:rPr>
        <w:t>s</w:t>
      </w:r>
      <w:r w:rsidRPr="00FD62A0">
        <w:rPr>
          <w:rFonts w:ascii="Arial" w:hAnsi="Arial" w:cs="Arial"/>
          <w:sz w:val="22"/>
          <w:szCs w:val="22"/>
        </w:rPr>
        <w:t xml:space="preserve"> público-privadas: infra-estrutura, saúde, educação, e projetos sociais.</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De acordo com a pesquisa, as parcerias público-privadas encontram-se em diferentes patamares nos países abordados pela pesquisa. A análise do mencionado estudo leva à separação dos países em três grupos, no que diz respeito às PPPs: os países maduros, os países com potencial futuro e os países iniciantes. </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Os considerados países maduros são Reino Unido, Austrália e Japão. Tais países </w:t>
      </w:r>
      <w:r w:rsidRPr="00FD62A0">
        <w:rPr>
          <w:rFonts w:ascii="Arial" w:hAnsi="Arial" w:cs="Arial"/>
          <w:sz w:val="22"/>
          <w:szCs w:val="22"/>
        </w:rPr>
        <w:lastRenderedPageBreak/>
        <w:t xml:space="preserve">se englobam nesse grupo pelo fato de as PPPs já terem sido generalizadas e pelo número de contratos anuais ser estável. </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O grupo classificado como “países com potencial futuro” aborda Índia, Canadá, França, Brasil, Estados Unidos, México e África do Sul. De forma geral a legislação acerca das parcerias público-privadas é nova, sendo posterior a 2003. Além disso, existe forte burocracia que torna lenta a contratação de projetos desse tipo. Apesar dos poucos projetos desenvolvidos nesses países, existe grande perspectiva de aumento deste modelo de parceria. </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Por sua vez, os países considerados iniciantes são China e Marrocos. Esses países ainda estão desenvolvendo projetos piloto de PPP. Nesse caso, a continuidade do modelo de parceria está condicionado aos resultados obtidos nos primeiros projetos. </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2.2. As Parcerias Público-Privadas no Brasil</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No Brasil, as primeiras atividades que reportam a parcerias público-privadas datam aproximadamente do final do século XIX. Nesse período, foram instituídas projetos para atuação de Companhias Inglesas em serviços relacionados à energia e transporte ferroviário.</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Desde os anos 1970, o país passou por períodos distintos que levaram à posterior adoção de parcerias público-privadas. Tais fases caracterizaram-se como desburocratização, na década de 1970, privatizações, nas décadas de 1980/1990 e desestatização, na década de 1990, culminando por fim na prática de uso das PPPs. (Alvarenga,</w:t>
      </w:r>
      <w:r w:rsidR="007454AB" w:rsidRPr="00FD62A0">
        <w:rPr>
          <w:rFonts w:ascii="Arial" w:hAnsi="Arial" w:cs="Arial"/>
          <w:sz w:val="22"/>
          <w:szCs w:val="22"/>
        </w:rPr>
        <w:t xml:space="preserve"> 2005</w:t>
      </w:r>
      <w:r w:rsidRPr="00FD62A0">
        <w:rPr>
          <w:rFonts w:ascii="Arial" w:hAnsi="Arial" w:cs="Arial"/>
          <w:sz w:val="22"/>
          <w:szCs w:val="22"/>
        </w:rPr>
        <w:t>)</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Em 1970, o programa de desburocratização visava diminuir o controle estatal sobre a iniciativa privada, seja sobre os cidadãos comuns ou sobre os empresários. Além disso, o programa buscava fortalecer o sistema de livre empresa, que favorecia as pequenas e médias empresas e consolidava as grandes. Tais atitudes governamentais tinham o intuito de ver as empresas privadas capacitadas a atuar em áreas até então de responsabilidade governamental. Entretanto, a burocracia existente no país impediu progressos significativos neste setor. (Alvarenga, 2005)</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Até a década de 1980, o governo era o responsável por todos os setores da economia, fornecendo os bens e serviços à sociedade. Tal atuação governamental contava com financiamentos internacionais e nacionais, inflando a dívida pública. A partir da década de 1980, entretanto, devido à crise financeira, os recursos financeiros escassearam. Considerando que o governo não contava mais com uma de suas principais fontes de recursos, criou-se um cenário de estagnação geral na administração pública. Nesse </w:t>
      </w:r>
      <w:r w:rsidRPr="00FD62A0">
        <w:rPr>
          <w:rFonts w:ascii="Arial" w:hAnsi="Arial" w:cs="Arial"/>
          <w:sz w:val="22"/>
          <w:szCs w:val="22"/>
        </w:rPr>
        <w:lastRenderedPageBreak/>
        <w:t>contexto, setores de suma importância para a população, como infra-estrutura e saúde passaram a ser afetados. (Alvarenga, 2005)</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Nos anos 1980/1990, com a crescente busca por racionalidade do Estado, o país foi marcado pela onda de privatizações, em um cenário onde o Estado toma a forma de articulador dos interesses da sociedade. O governo visava maior competitividade e eficiência, e via na gestão privada a possibilidade de alcançá-las de forma mais efetiva. Além deste fator, a privatização se justificou pela crise fiscal que se abatera anos antes sobre todo o mundo e ainda devido à falta de confiança reinante. (Alvarenga, 2005)</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 década de 1990, em si, foi caracterizada pela desestatização. Nesta fase, o governo visava transferir atividades indevidamente exploradas para o setor privado. Tal atitude deveria levar à retomada dos investimentos nas empresas e à reestruturação do setor privado. Tendo todo este aparato do setor privado, o governo poderia concentrar seus esforços em áreas mais fundamentais. . (Alvarenga, 2005)</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 tradição burocrática do Brasil, de certa maneira, emperrou essas fases em maior ou menor grau. Nesse sentido, no final da década de 1990, foi instituída a Reforma Administrativa, que veio para tentar substituir o modelo burocrático pela Administração Pública Gerencial. A partir de então, estavam abertas as portas às Parcerias Público-Privadas no país.</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O Banco Mundial, em seu relatório “Um Brasil mais justo, sustentável e competitivo – Estratégia de Assistência ao país 2004-</w:t>
      </w:r>
      <w:smartTag w:uri="urn:schemas-microsoft-com:office:smarttags" w:element="metricconverter">
        <w:smartTagPr>
          <w:attr w:name="ProductID" w:val="2007”"/>
        </w:smartTagPr>
        <w:r w:rsidRPr="00FD62A0">
          <w:rPr>
            <w:rFonts w:ascii="Arial" w:hAnsi="Arial" w:cs="Arial"/>
            <w:sz w:val="22"/>
            <w:szCs w:val="22"/>
          </w:rPr>
          <w:t>2007”</w:t>
        </w:r>
      </w:smartTag>
      <w:r w:rsidRPr="00FD62A0">
        <w:rPr>
          <w:rFonts w:ascii="Arial" w:hAnsi="Arial" w:cs="Arial"/>
          <w:sz w:val="22"/>
          <w:szCs w:val="22"/>
        </w:rPr>
        <w:t>, apoia claramente a parceria público-privada como forma de estimular o crescimento do país, de forma sustentável, conforme segue abaixo:</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Um Brasil mais competitivo incentivaria o crescimento e as exportações por meio de ganhos de produtividade e do aumento do emprego e da renda para todos os grupos sociais. O governo brasileiro está desenvolvendo um programa multissetorial que visa um crescimento mais elevado e sustentável, através da simultânea melhoria das condições de investimento e de maior produtividade. Isso significa uma redução na dívida pública de longo prazo (especialmente no sistema de Previdência Social), a fim de criar flexibilidade fiscal para investimentos públicos e diminuir o custo do capital; menos impedimentos às inovações e aos investimentos decorrentes da excessiva regulamentação e burocracia; a discussão das barreiras comerciais, inclusive dos altos custos logísticos; o direcionamento para um setor financeiro mais eficiente e amplo; e maior investimento em capital humano (...). o governo reconhece que o crescimento será gerado predominantemente pelas atividades do setor privado.</w:t>
      </w:r>
      <w:r w:rsidR="007454AB" w:rsidRPr="00FD62A0">
        <w:rPr>
          <w:rFonts w:ascii="Arial" w:hAnsi="Arial" w:cs="Arial"/>
          <w:sz w:val="20"/>
          <w:szCs w:val="20"/>
        </w:rPr>
        <w:t xml:space="preserve"> </w:t>
      </w:r>
      <w:r w:rsidRPr="00FD62A0">
        <w:rPr>
          <w:rFonts w:ascii="Arial" w:hAnsi="Arial" w:cs="Arial"/>
          <w:sz w:val="20"/>
          <w:szCs w:val="20"/>
        </w:rPr>
        <w:t>(Banco Mundial, 2003)</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Em relatório posterior, denominado “Estratégias de Parceria com o Brasil 2008-</w:t>
      </w:r>
      <w:smartTag w:uri="urn:schemas-microsoft-com:office:smarttags" w:element="metricconverter">
        <w:smartTagPr>
          <w:attr w:name="ProductID" w:val="2011”"/>
        </w:smartTagPr>
        <w:r w:rsidRPr="00FD62A0">
          <w:rPr>
            <w:rFonts w:ascii="Arial" w:hAnsi="Arial" w:cs="Arial"/>
            <w:sz w:val="22"/>
            <w:szCs w:val="22"/>
          </w:rPr>
          <w:t>2011”</w:t>
        </w:r>
      </w:smartTag>
      <w:r w:rsidRPr="00FD62A0">
        <w:rPr>
          <w:rFonts w:ascii="Arial" w:hAnsi="Arial" w:cs="Arial"/>
          <w:sz w:val="22"/>
          <w:szCs w:val="22"/>
        </w:rPr>
        <w:t xml:space="preserve">, novamente o Banco Mundial ressalta a importância das empresas privadas, assim como das parcerias público-privadas. Entre as estratégias propostas estão as reformas fiscal e do setor público, buscando superar os obstáculos ao crescimento, assim como o </w:t>
      </w:r>
      <w:r w:rsidRPr="00FD62A0">
        <w:rPr>
          <w:rFonts w:ascii="Arial" w:hAnsi="Arial" w:cs="Arial"/>
          <w:sz w:val="22"/>
          <w:szCs w:val="22"/>
        </w:rPr>
        <w:lastRenderedPageBreak/>
        <w:t>desenvolvimento do setor privado, estimulando o investimento e crescimento. (Banco Mundial, 2008)</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Tendo-se conceituado as parcerias público-privadas, assim como sua contextualização histórica, torna-se possível abordar o tema das instituições envolvidas nos projetos de PPP a serem analisados neste trabalho: o </w:t>
      </w:r>
      <w:r w:rsidR="00C02187" w:rsidRPr="00FD62A0">
        <w:rPr>
          <w:rFonts w:ascii="Arial" w:hAnsi="Arial" w:cs="Arial"/>
          <w:sz w:val="22"/>
          <w:szCs w:val="22"/>
        </w:rPr>
        <w:t>ViraVida</w:t>
      </w:r>
      <w:r w:rsidRPr="00FD62A0">
        <w:rPr>
          <w:rFonts w:ascii="Arial" w:hAnsi="Arial" w:cs="Arial"/>
          <w:sz w:val="22"/>
          <w:szCs w:val="22"/>
        </w:rPr>
        <w:t xml:space="preserve"> - desenvolvido inicialmente pelo </w:t>
      </w:r>
      <w:r w:rsidR="002A1169" w:rsidRPr="00FD62A0">
        <w:rPr>
          <w:rFonts w:ascii="Arial" w:hAnsi="Arial" w:cs="Arial"/>
          <w:sz w:val="22"/>
          <w:szCs w:val="22"/>
        </w:rPr>
        <w:t>SESI</w:t>
      </w:r>
      <w:r w:rsidRPr="00FD62A0">
        <w:rPr>
          <w:rFonts w:ascii="Arial" w:hAnsi="Arial" w:cs="Arial"/>
          <w:sz w:val="22"/>
          <w:szCs w:val="22"/>
        </w:rPr>
        <w:t>, em parceria com o sistema S e outras instituições -  e o Turismo Sustentável e Infância, desenvolvido principalmente pelo Ministério do Turismo, em associação a outras instituições do ramo. Sendo assim, nos próximos tópicos, há de se abordar a organização desses órgãos, assim como sua atuação no quesito das parcerias público-privadas.</w:t>
      </w:r>
    </w:p>
    <w:p w:rsidR="004F4AA9" w:rsidRPr="00FD62A0" w:rsidRDefault="004F4AA9" w:rsidP="00BF4427">
      <w:pPr>
        <w:widowControl w:val="0"/>
        <w:autoSpaceDE w:val="0"/>
        <w:autoSpaceDN w:val="0"/>
        <w:adjustRightInd w:val="0"/>
        <w:spacing w:line="360" w:lineRule="auto"/>
        <w:rPr>
          <w:rFonts w:ascii="Arial" w:hAnsi="Arial" w:cs="Arial"/>
          <w:sz w:val="22"/>
          <w:szCs w:val="22"/>
        </w:rPr>
      </w:pPr>
    </w:p>
    <w:p w:rsidR="004D4298" w:rsidRPr="00FD62A0" w:rsidRDefault="004D4298" w:rsidP="00BF4427">
      <w:pPr>
        <w:widowControl w:val="0"/>
        <w:autoSpaceDE w:val="0"/>
        <w:autoSpaceDN w:val="0"/>
        <w:adjustRightInd w:val="0"/>
        <w:spacing w:line="360" w:lineRule="auto"/>
        <w:rPr>
          <w:rFonts w:ascii="Arial" w:hAnsi="Arial" w:cs="Arial"/>
          <w:b/>
          <w:iCs/>
          <w:sz w:val="22"/>
          <w:szCs w:val="22"/>
        </w:rPr>
      </w:pPr>
      <w:r w:rsidRPr="00FD62A0">
        <w:rPr>
          <w:rFonts w:ascii="Arial" w:hAnsi="Arial" w:cs="Arial"/>
          <w:b/>
          <w:iCs/>
          <w:sz w:val="22"/>
          <w:szCs w:val="22"/>
        </w:rPr>
        <w:t>2.3. O sistema S</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xml:space="preserve">O Serviço Social da Indústria – </w:t>
      </w:r>
      <w:r w:rsidR="002A1169" w:rsidRPr="00FD62A0">
        <w:rPr>
          <w:rFonts w:ascii="Arial" w:hAnsi="Arial" w:cs="Arial"/>
          <w:sz w:val="22"/>
          <w:szCs w:val="22"/>
        </w:rPr>
        <w:t>SESI</w:t>
      </w:r>
      <w:r w:rsidRPr="00FD62A0">
        <w:rPr>
          <w:rFonts w:ascii="Arial" w:hAnsi="Arial" w:cs="Arial"/>
          <w:sz w:val="22"/>
          <w:szCs w:val="22"/>
        </w:rPr>
        <w:t xml:space="preserve"> coordena em parceria com entidades do Sistema S (</w:t>
      </w:r>
      <w:r w:rsidR="002A1169" w:rsidRPr="00FD62A0">
        <w:rPr>
          <w:rFonts w:ascii="Arial" w:hAnsi="Arial" w:cs="Arial"/>
          <w:sz w:val="22"/>
          <w:szCs w:val="22"/>
        </w:rPr>
        <w:t>SENAI</w:t>
      </w:r>
      <w:r w:rsidRPr="00FD62A0">
        <w:rPr>
          <w:rFonts w:ascii="Arial" w:hAnsi="Arial" w:cs="Arial"/>
          <w:sz w:val="22"/>
          <w:szCs w:val="22"/>
        </w:rPr>
        <w:t xml:space="preserve">, </w:t>
      </w:r>
      <w:r w:rsidR="002A1169" w:rsidRPr="00FD62A0">
        <w:rPr>
          <w:rFonts w:ascii="Arial" w:hAnsi="Arial" w:cs="Arial"/>
          <w:sz w:val="22"/>
          <w:szCs w:val="22"/>
        </w:rPr>
        <w:t>SESC</w:t>
      </w:r>
      <w:r w:rsidRPr="00FD62A0">
        <w:rPr>
          <w:rFonts w:ascii="Arial" w:hAnsi="Arial" w:cs="Arial"/>
          <w:sz w:val="22"/>
          <w:szCs w:val="22"/>
        </w:rPr>
        <w:t xml:space="preserve">, </w:t>
      </w:r>
      <w:r w:rsidR="002A1169" w:rsidRPr="00FD62A0">
        <w:rPr>
          <w:rFonts w:ascii="Arial" w:hAnsi="Arial" w:cs="Arial"/>
          <w:sz w:val="22"/>
          <w:szCs w:val="22"/>
        </w:rPr>
        <w:t>SENAC</w:t>
      </w:r>
      <w:r w:rsidRPr="00FD62A0">
        <w:rPr>
          <w:rFonts w:ascii="Arial" w:hAnsi="Arial" w:cs="Arial"/>
          <w:sz w:val="22"/>
          <w:szCs w:val="22"/>
        </w:rPr>
        <w:t xml:space="preserve"> e </w:t>
      </w:r>
      <w:r w:rsidR="00C02187" w:rsidRPr="00FD62A0">
        <w:rPr>
          <w:rFonts w:ascii="Arial" w:hAnsi="Arial" w:cs="Arial"/>
          <w:sz w:val="22"/>
          <w:szCs w:val="22"/>
        </w:rPr>
        <w:t>SEBRAE</w:t>
      </w:r>
      <w:r w:rsidRPr="00FD62A0">
        <w:rPr>
          <w:rFonts w:ascii="Arial" w:hAnsi="Arial" w:cs="Arial"/>
          <w:sz w:val="22"/>
          <w:szCs w:val="22"/>
        </w:rPr>
        <w:t xml:space="preserve">) e outras entidades, o Projeto </w:t>
      </w:r>
      <w:r w:rsidR="00C02187" w:rsidRPr="00FD62A0">
        <w:rPr>
          <w:rFonts w:ascii="Arial" w:hAnsi="Arial" w:cs="Arial"/>
          <w:sz w:val="22"/>
          <w:szCs w:val="22"/>
        </w:rPr>
        <w:t>ViraVida</w:t>
      </w:r>
      <w:r w:rsidRPr="00FD62A0">
        <w:rPr>
          <w:rFonts w:ascii="Arial" w:hAnsi="Arial" w:cs="Arial"/>
          <w:sz w:val="22"/>
          <w:szCs w:val="22"/>
        </w:rPr>
        <w:t>. Inicialmente, a abordagem do tema exploração sexual sofreu resistência das instituições do sistema S, por fugir à sua área de atuação. Aos poucos, o tema ganhou aderência e aceitação entre as entidades.</w:t>
      </w:r>
    </w:p>
    <w:p w:rsidR="004D4298" w:rsidRPr="00FD62A0" w:rsidRDefault="004D4298" w:rsidP="00BF4427">
      <w:pPr>
        <w:widowControl w:val="0"/>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Entretanto, antes de tratar especificamente do </w:t>
      </w:r>
      <w:r w:rsidR="002A1169" w:rsidRPr="00FD62A0">
        <w:rPr>
          <w:rFonts w:ascii="Arial" w:hAnsi="Arial" w:cs="Arial"/>
          <w:sz w:val="22"/>
          <w:szCs w:val="22"/>
        </w:rPr>
        <w:t>SESI</w:t>
      </w:r>
      <w:r w:rsidRPr="00FD62A0">
        <w:rPr>
          <w:rFonts w:ascii="Arial" w:hAnsi="Arial" w:cs="Arial"/>
          <w:sz w:val="22"/>
          <w:szCs w:val="22"/>
        </w:rPr>
        <w:t>, convém apresentar a constituição do Sistema S</w:t>
      </w:r>
      <w:r w:rsidR="00B94A6A" w:rsidRPr="00FD62A0">
        <w:rPr>
          <w:rFonts w:ascii="Arial" w:hAnsi="Arial" w:cs="Arial"/>
          <w:sz w:val="22"/>
          <w:szCs w:val="22"/>
        </w:rPr>
        <w:t>. Tal grupo é formado por diversas entidades</w:t>
      </w:r>
      <w:r w:rsidRPr="00FD62A0">
        <w:rPr>
          <w:rFonts w:ascii="Arial" w:hAnsi="Arial" w:cs="Arial"/>
          <w:sz w:val="22"/>
          <w:szCs w:val="22"/>
        </w:rPr>
        <w:t xml:space="preserve">, </w:t>
      </w:r>
      <w:r w:rsidR="00B94A6A" w:rsidRPr="00FD62A0">
        <w:rPr>
          <w:rFonts w:ascii="Arial" w:hAnsi="Arial" w:cs="Arial"/>
          <w:sz w:val="22"/>
          <w:szCs w:val="22"/>
        </w:rPr>
        <w:t xml:space="preserve">representantes dos trabalhadores dos setores </w:t>
      </w:r>
      <w:r w:rsidRPr="00FD62A0">
        <w:rPr>
          <w:rFonts w:ascii="Arial" w:hAnsi="Arial" w:cs="Arial"/>
          <w:sz w:val="22"/>
          <w:szCs w:val="22"/>
        </w:rPr>
        <w:t>da indústria, comércio, transportes, entre outros.</w:t>
      </w:r>
      <w:r w:rsidR="00B94A6A" w:rsidRPr="00FD62A0">
        <w:rPr>
          <w:rFonts w:ascii="Arial" w:hAnsi="Arial" w:cs="Arial"/>
          <w:sz w:val="22"/>
          <w:szCs w:val="22"/>
        </w:rPr>
        <w:t xml:space="preserve"> Essas organizações envolvidas tem apelo social, focando no bem estar dos funcionários e seus familiares, seja em questões relacionadas a saúde, educação, esportes, profissionalização ou lazer. Este enfoque social, vincula o grupo formado pelo Sistema S a vários projetos sociais, por todo o país.</w:t>
      </w:r>
    </w:p>
    <w:p w:rsidR="004D4298" w:rsidRPr="00FD62A0" w:rsidRDefault="004D4298" w:rsidP="00BF4427">
      <w:pPr>
        <w:widowControl w:val="0"/>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 Constituição Federal do Brasil, no seu artigo 49, prevê três tipos de contribuições a serem instituídas exclusivamente pela União:</w:t>
      </w:r>
      <w:r w:rsidR="005B328A" w:rsidRPr="00FD62A0">
        <w:rPr>
          <w:rFonts w:ascii="Arial" w:hAnsi="Arial" w:cs="Arial"/>
          <w:sz w:val="22"/>
          <w:szCs w:val="22"/>
        </w:rPr>
        <w:t xml:space="preserve"> </w:t>
      </w:r>
      <w:r w:rsidRPr="00FD62A0">
        <w:rPr>
          <w:rFonts w:ascii="Arial" w:hAnsi="Arial" w:cs="Arial"/>
          <w:sz w:val="22"/>
          <w:szCs w:val="22"/>
        </w:rPr>
        <w:t>Contribuições sociais;</w:t>
      </w:r>
      <w:r w:rsidR="005B328A" w:rsidRPr="00FD62A0">
        <w:rPr>
          <w:rFonts w:ascii="Arial" w:hAnsi="Arial" w:cs="Arial"/>
          <w:sz w:val="22"/>
          <w:szCs w:val="22"/>
        </w:rPr>
        <w:t xml:space="preserve"> </w:t>
      </w:r>
      <w:r w:rsidRPr="00FD62A0">
        <w:rPr>
          <w:rFonts w:ascii="Arial" w:hAnsi="Arial" w:cs="Arial"/>
          <w:sz w:val="22"/>
          <w:szCs w:val="22"/>
        </w:rPr>
        <w:t>Contribuição de intervenção no domínio econômico;</w:t>
      </w:r>
      <w:r w:rsidR="005B328A" w:rsidRPr="00FD62A0">
        <w:rPr>
          <w:rFonts w:ascii="Arial" w:hAnsi="Arial" w:cs="Arial"/>
          <w:sz w:val="22"/>
          <w:szCs w:val="22"/>
        </w:rPr>
        <w:t xml:space="preserve"> </w:t>
      </w:r>
      <w:r w:rsidRPr="00FD62A0">
        <w:rPr>
          <w:rFonts w:ascii="Arial" w:hAnsi="Arial" w:cs="Arial"/>
          <w:sz w:val="22"/>
          <w:szCs w:val="22"/>
        </w:rPr>
        <w:t>Contribuição de interesse das categorias profissionais ou econômicas.</w:t>
      </w:r>
      <w:r w:rsidR="005B328A" w:rsidRPr="00FD62A0">
        <w:rPr>
          <w:rFonts w:ascii="Arial" w:hAnsi="Arial" w:cs="Arial"/>
          <w:sz w:val="22"/>
          <w:szCs w:val="22"/>
        </w:rPr>
        <w:t xml:space="preserve"> </w:t>
      </w:r>
      <w:r w:rsidRPr="00FD62A0">
        <w:rPr>
          <w:rFonts w:ascii="Arial" w:hAnsi="Arial" w:cs="Arial"/>
          <w:sz w:val="22"/>
          <w:szCs w:val="22"/>
        </w:rPr>
        <w:t>(Constituição Federal, 1988)</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Baseado na terceira hipótese, encontra-se a base legal para a criação do Sistema S. Nesse sentido, cabe destacar que o Sistema S, é formado por organizações dos ramos da indústria, comércio, agricultura, transportes e cooperativas, no intuito de oferecer o bem-estar social a seus trabalhadores. (Portal </w:t>
      </w:r>
      <w:r w:rsidR="002A1169" w:rsidRPr="00FD62A0">
        <w:rPr>
          <w:rFonts w:ascii="Arial" w:hAnsi="Arial" w:cs="Arial"/>
          <w:sz w:val="22"/>
          <w:szCs w:val="22"/>
        </w:rPr>
        <w:t>SENAI</w:t>
      </w:r>
      <w:r w:rsidRPr="00FD62A0">
        <w:rPr>
          <w:rFonts w:ascii="Arial" w:hAnsi="Arial" w:cs="Arial"/>
          <w:sz w:val="22"/>
          <w:szCs w:val="22"/>
        </w:rPr>
        <w:t>)</w:t>
      </w:r>
      <w:r w:rsidR="005B328A" w:rsidRPr="00FD62A0">
        <w:rPr>
          <w:rStyle w:val="Refdenotaderodap"/>
          <w:rFonts w:ascii="Arial" w:hAnsi="Arial" w:cs="Arial"/>
          <w:sz w:val="22"/>
          <w:szCs w:val="22"/>
        </w:rPr>
        <w:footnoteReference w:id="5"/>
      </w:r>
    </w:p>
    <w:p w:rsidR="004D4298" w:rsidRPr="00FD62A0" w:rsidRDefault="004D4298" w:rsidP="00BF4427">
      <w:pPr>
        <w:widowControl w:val="0"/>
        <w:tabs>
          <w:tab w:val="left" w:pos="851"/>
        </w:tabs>
        <w:autoSpaceDE w:val="0"/>
        <w:autoSpaceDN w:val="0"/>
        <w:adjustRightInd w:val="0"/>
        <w:spacing w:line="360" w:lineRule="auto"/>
        <w:rPr>
          <w:rFonts w:ascii="Arial" w:hAnsi="Arial" w:cs="Arial"/>
          <w:sz w:val="22"/>
          <w:szCs w:val="22"/>
        </w:rPr>
      </w:pPr>
      <w:r w:rsidRPr="00FD62A0">
        <w:rPr>
          <w:rFonts w:ascii="Arial" w:hAnsi="Arial" w:cs="Arial"/>
          <w:sz w:val="22"/>
          <w:szCs w:val="22"/>
        </w:rPr>
        <w:tab/>
        <w:t xml:space="preserve">O grupo abrangido pelo sistema S, caracteriza-se pela preocupação tanto com os </w:t>
      </w:r>
      <w:r w:rsidRPr="00FD62A0">
        <w:rPr>
          <w:rFonts w:ascii="Arial" w:hAnsi="Arial" w:cs="Arial"/>
          <w:sz w:val="22"/>
          <w:szCs w:val="22"/>
        </w:rPr>
        <w:lastRenderedPageBreak/>
        <w:t>funcionários de seu setor quanto com a sociedade, sendo as entidades envolvidas caracterizadas como “socialmente responsáveis”. O conceito de empresa socialmente responsável aborda</w:t>
      </w:r>
    </w:p>
    <w:p w:rsidR="004D4298" w:rsidRPr="00FD62A0" w:rsidRDefault="004D4298" w:rsidP="00BF4427">
      <w:pPr>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aquela que possui a capacidade de ouvir os interesses das diferentes partes (acionistas, funcionários, prestadores de serviço, fornecedores, consumidores, comunidade, governo e meio-ambiente) e de conseguir incorporá-los no planejamento de suas atividades, buscando considerar as demandas de todos e não apenas dos acionistas ou proprietários (Instituto Ethos)</w:t>
      </w:r>
    </w:p>
    <w:p w:rsidR="004D4298" w:rsidRPr="00FD62A0" w:rsidRDefault="004D4298" w:rsidP="00BF4427">
      <w:pPr>
        <w:widowControl w:val="0"/>
        <w:tabs>
          <w:tab w:val="left" w:pos="851"/>
        </w:tabs>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As instituições envolvidas no Sistema S atuam por meio de parcerias com diversos atores públicos ou privados. Entre eles, vale mencionar:</w:t>
      </w:r>
      <w:r w:rsidR="006C6A08" w:rsidRPr="00FD62A0">
        <w:rPr>
          <w:rFonts w:ascii="Arial" w:hAnsi="Arial" w:cs="Arial"/>
          <w:sz w:val="22"/>
          <w:szCs w:val="22"/>
        </w:rPr>
        <w:t xml:space="preserve"> </w:t>
      </w:r>
      <w:r w:rsidRPr="00FD62A0">
        <w:rPr>
          <w:rFonts w:ascii="Arial" w:hAnsi="Arial" w:cs="Arial"/>
          <w:sz w:val="22"/>
          <w:szCs w:val="22"/>
        </w:rPr>
        <w:t>Prefeituras;</w:t>
      </w:r>
      <w:r w:rsidR="006C6A08" w:rsidRPr="00FD62A0">
        <w:rPr>
          <w:rFonts w:ascii="Arial" w:hAnsi="Arial" w:cs="Arial"/>
          <w:sz w:val="22"/>
          <w:szCs w:val="22"/>
        </w:rPr>
        <w:t xml:space="preserve"> </w:t>
      </w:r>
      <w:r w:rsidRPr="00FD62A0">
        <w:rPr>
          <w:rFonts w:ascii="Arial" w:hAnsi="Arial" w:cs="Arial"/>
          <w:sz w:val="22"/>
          <w:szCs w:val="22"/>
        </w:rPr>
        <w:t>Entidades públicas como escolas ou hospitais;</w:t>
      </w:r>
      <w:r w:rsidR="006C6A08" w:rsidRPr="00FD62A0">
        <w:rPr>
          <w:rFonts w:ascii="Arial" w:hAnsi="Arial" w:cs="Arial"/>
          <w:sz w:val="22"/>
          <w:szCs w:val="22"/>
        </w:rPr>
        <w:t xml:space="preserve"> </w:t>
      </w:r>
      <w:r w:rsidRPr="00FD62A0">
        <w:rPr>
          <w:rFonts w:ascii="Arial" w:hAnsi="Arial" w:cs="Arial"/>
          <w:sz w:val="22"/>
          <w:szCs w:val="22"/>
        </w:rPr>
        <w:t>Fundações empresariais;</w:t>
      </w:r>
      <w:r w:rsidR="006C6A08" w:rsidRPr="00FD62A0">
        <w:rPr>
          <w:rFonts w:ascii="Arial" w:hAnsi="Arial" w:cs="Arial"/>
          <w:sz w:val="22"/>
          <w:szCs w:val="22"/>
        </w:rPr>
        <w:t xml:space="preserve"> </w:t>
      </w:r>
      <w:r w:rsidRPr="00FD62A0">
        <w:rPr>
          <w:rFonts w:ascii="Arial" w:hAnsi="Arial" w:cs="Arial"/>
          <w:sz w:val="22"/>
          <w:szCs w:val="22"/>
        </w:rPr>
        <w:t>Associações;</w:t>
      </w:r>
      <w:r w:rsidR="006C6A08" w:rsidRPr="00FD62A0">
        <w:rPr>
          <w:rFonts w:ascii="Arial" w:hAnsi="Arial" w:cs="Arial"/>
          <w:sz w:val="22"/>
          <w:szCs w:val="22"/>
        </w:rPr>
        <w:t xml:space="preserve"> </w:t>
      </w:r>
      <w:r w:rsidRPr="00FD62A0">
        <w:rPr>
          <w:rFonts w:ascii="Arial" w:hAnsi="Arial" w:cs="Arial"/>
          <w:sz w:val="22"/>
          <w:szCs w:val="22"/>
        </w:rPr>
        <w:t>Sindicato</w:t>
      </w:r>
      <w:r w:rsidR="006C6A08" w:rsidRPr="00FD62A0">
        <w:rPr>
          <w:rFonts w:ascii="Arial" w:hAnsi="Arial" w:cs="Arial"/>
          <w:sz w:val="22"/>
          <w:szCs w:val="22"/>
        </w:rPr>
        <w:t>s</w:t>
      </w:r>
      <w:r w:rsidRPr="00FD62A0">
        <w:rPr>
          <w:rFonts w:ascii="Arial" w:hAnsi="Arial" w:cs="Arial"/>
          <w:sz w:val="22"/>
          <w:szCs w:val="22"/>
        </w:rPr>
        <w:t>;</w:t>
      </w:r>
      <w:r w:rsidR="006C6A08" w:rsidRPr="00FD62A0">
        <w:rPr>
          <w:rFonts w:ascii="Arial" w:hAnsi="Arial" w:cs="Arial"/>
          <w:sz w:val="22"/>
          <w:szCs w:val="22"/>
        </w:rPr>
        <w:t xml:space="preserve"> </w:t>
      </w:r>
      <w:r w:rsidRPr="00FD62A0">
        <w:rPr>
          <w:rFonts w:ascii="Arial" w:hAnsi="Arial" w:cs="Arial"/>
          <w:sz w:val="22"/>
          <w:szCs w:val="22"/>
        </w:rPr>
        <w:t>Governo Estadual, entre outros.</w:t>
      </w:r>
    </w:p>
    <w:p w:rsidR="004D4298" w:rsidRPr="00FD62A0" w:rsidRDefault="004D4298" w:rsidP="00BF4427">
      <w:pPr>
        <w:widowControl w:val="0"/>
        <w:tabs>
          <w:tab w:val="left" w:pos="851"/>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Destas, as entidades envolvidas no Projeto </w:t>
      </w:r>
      <w:r w:rsidR="00C02187" w:rsidRPr="00FD62A0">
        <w:rPr>
          <w:rFonts w:ascii="Arial" w:hAnsi="Arial" w:cs="Arial"/>
          <w:sz w:val="22"/>
          <w:szCs w:val="22"/>
        </w:rPr>
        <w:t>ViraVida</w:t>
      </w:r>
      <w:r w:rsidRPr="00FD62A0">
        <w:rPr>
          <w:rFonts w:ascii="Arial" w:hAnsi="Arial" w:cs="Arial"/>
          <w:sz w:val="22"/>
          <w:szCs w:val="22"/>
        </w:rPr>
        <w:t xml:space="preserve"> são o </w:t>
      </w:r>
      <w:r w:rsidR="002A1169" w:rsidRPr="00FD62A0">
        <w:rPr>
          <w:rFonts w:ascii="Arial" w:hAnsi="Arial" w:cs="Arial"/>
          <w:sz w:val="22"/>
          <w:szCs w:val="22"/>
        </w:rPr>
        <w:t>SESI</w:t>
      </w:r>
      <w:r w:rsidRPr="00FD62A0">
        <w:rPr>
          <w:rFonts w:ascii="Arial" w:hAnsi="Arial" w:cs="Arial"/>
          <w:sz w:val="22"/>
          <w:szCs w:val="22"/>
        </w:rPr>
        <w:t xml:space="preserve">, o </w:t>
      </w:r>
      <w:r w:rsidR="002A1169" w:rsidRPr="00FD62A0">
        <w:rPr>
          <w:rFonts w:ascii="Arial" w:hAnsi="Arial" w:cs="Arial"/>
          <w:sz w:val="22"/>
          <w:szCs w:val="22"/>
        </w:rPr>
        <w:t>SESC</w:t>
      </w:r>
      <w:r w:rsidRPr="00FD62A0">
        <w:rPr>
          <w:rFonts w:ascii="Arial" w:hAnsi="Arial" w:cs="Arial"/>
          <w:sz w:val="22"/>
          <w:szCs w:val="22"/>
        </w:rPr>
        <w:t xml:space="preserve">, o </w:t>
      </w:r>
      <w:r w:rsidR="002A1169" w:rsidRPr="00FD62A0">
        <w:rPr>
          <w:rFonts w:ascii="Arial" w:hAnsi="Arial" w:cs="Arial"/>
          <w:sz w:val="22"/>
          <w:szCs w:val="22"/>
        </w:rPr>
        <w:t>SENAI</w:t>
      </w:r>
      <w:r w:rsidRPr="00FD62A0">
        <w:rPr>
          <w:rFonts w:ascii="Arial" w:hAnsi="Arial" w:cs="Arial"/>
          <w:sz w:val="22"/>
          <w:szCs w:val="22"/>
        </w:rPr>
        <w:t xml:space="preserve">, e o </w:t>
      </w:r>
      <w:r w:rsidR="002A1169" w:rsidRPr="00FD62A0">
        <w:rPr>
          <w:rFonts w:ascii="Arial" w:hAnsi="Arial" w:cs="Arial"/>
          <w:sz w:val="22"/>
          <w:szCs w:val="22"/>
        </w:rPr>
        <w:t>SENAC</w:t>
      </w:r>
      <w:r w:rsidRPr="00FD62A0">
        <w:rPr>
          <w:rFonts w:ascii="Arial" w:hAnsi="Arial" w:cs="Arial"/>
          <w:sz w:val="22"/>
          <w:szCs w:val="22"/>
        </w:rPr>
        <w:t>. Nos itens a seguir, são abordadas suas constituições, funcionamento, renda, entre outras características organizacionais.</w:t>
      </w:r>
    </w:p>
    <w:p w:rsidR="00261FA6" w:rsidRPr="00FD62A0" w:rsidRDefault="00261FA6" w:rsidP="00BF4427">
      <w:pPr>
        <w:widowControl w:val="0"/>
        <w:tabs>
          <w:tab w:val="left" w:pos="851"/>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1575"/>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 xml:space="preserve">2.3.1. Serviço Social da Indústria – </w:t>
      </w:r>
      <w:r w:rsidR="002A1169" w:rsidRPr="00FD62A0">
        <w:rPr>
          <w:rFonts w:ascii="Arial" w:hAnsi="Arial" w:cs="Arial"/>
          <w:b/>
          <w:iCs/>
          <w:sz w:val="22"/>
          <w:szCs w:val="22"/>
        </w:rPr>
        <w:t>SESI</w:t>
      </w:r>
    </w:p>
    <w:p w:rsidR="004D4298" w:rsidRPr="00FD62A0" w:rsidRDefault="004D4298" w:rsidP="00BF4427">
      <w:pPr>
        <w:widowControl w:val="0"/>
        <w:tabs>
          <w:tab w:val="left" w:pos="1575"/>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O estudo “</w:t>
      </w:r>
      <w:r w:rsidR="002A1169" w:rsidRPr="00FD62A0">
        <w:rPr>
          <w:rFonts w:ascii="Arial" w:hAnsi="Arial" w:cs="Arial"/>
          <w:sz w:val="22"/>
          <w:szCs w:val="22"/>
        </w:rPr>
        <w:t>SESI</w:t>
      </w:r>
      <w:r w:rsidRPr="00FD62A0">
        <w:rPr>
          <w:rFonts w:ascii="Arial" w:hAnsi="Arial" w:cs="Arial"/>
          <w:sz w:val="22"/>
          <w:szCs w:val="22"/>
        </w:rPr>
        <w:t xml:space="preserve">, o trabalhador e a indústria: um Resgate histórico”, apresenta a definição do </w:t>
      </w:r>
      <w:r w:rsidR="002A1169" w:rsidRPr="00FD62A0">
        <w:rPr>
          <w:rFonts w:ascii="Arial" w:hAnsi="Arial" w:cs="Arial"/>
          <w:sz w:val="22"/>
          <w:szCs w:val="22"/>
        </w:rPr>
        <w:t>SESI</w:t>
      </w:r>
      <w:r w:rsidRPr="00FD62A0">
        <w:rPr>
          <w:rFonts w:ascii="Arial" w:hAnsi="Arial" w:cs="Arial"/>
          <w:sz w:val="22"/>
          <w:szCs w:val="22"/>
        </w:rPr>
        <w:t>:</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 xml:space="preserve">O </w:t>
      </w:r>
      <w:r w:rsidR="002A1169" w:rsidRPr="00FD62A0">
        <w:rPr>
          <w:rFonts w:ascii="Arial" w:hAnsi="Arial" w:cs="Arial"/>
          <w:sz w:val="20"/>
          <w:szCs w:val="20"/>
        </w:rPr>
        <w:t>SESI</w:t>
      </w:r>
      <w:r w:rsidRPr="00FD62A0">
        <w:rPr>
          <w:rFonts w:ascii="Arial" w:hAnsi="Arial" w:cs="Arial"/>
          <w:sz w:val="20"/>
          <w:szCs w:val="20"/>
        </w:rPr>
        <w:t xml:space="preserve"> é uma instituição privada de caráter público. Não está diretamente subordinado ao poder público, apesar de contar com seu amparo e prestar-lhe contas. Com serviços organizados nos moldes das empresas privadas, possui patrimônio próprio e direção particular, mas não visa lucro. Essa especificidade exigiu um desenho administrativo próprio. O primeiro período de existência do </w:t>
      </w:r>
      <w:r w:rsidR="002A1169" w:rsidRPr="00FD62A0">
        <w:rPr>
          <w:rFonts w:ascii="Arial" w:hAnsi="Arial" w:cs="Arial"/>
          <w:sz w:val="20"/>
          <w:szCs w:val="20"/>
        </w:rPr>
        <w:t>SESI</w:t>
      </w:r>
      <w:r w:rsidRPr="00FD62A0">
        <w:rPr>
          <w:rFonts w:ascii="Arial" w:hAnsi="Arial" w:cs="Arial"/>
          <w:sz w:val="20"/>
          <w:szCs w:val="20"/>
        </w:rPr>
        <w:t xml:space="preserve"> foi caracterizado pelo paulatino desenvolvimento da estrutura institucional, com distribuição de atribuições entre as repartições e regionais. (</w:t>
      </w:r>
      <w:r w:rsidR="002A1169" w:rsidRPr="00FD62A0">
        <w:rPr>
          <w:rFonts w:ascii="Arial" w:hAnsi="Arial" w:cs="Arial"/>
          <w:sz w:val="20"/>
          <w:szCs w:val="20"/>
        </w:rPr>
        <w:t>SESI</w:t>
      </w:r>
      <w:r w:rsidRPr="00FD62A0">
        <w:rPr>
          <w:rFonts w:ascii="Arial" w:hAnsi="Arial" w:cs="Arial"/>
          <w:sz w:val="20"/>
          <w:szCs w:val="20"/>
        </w:rPr>
        <w:t>, 2008)</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O </w:t>
      </w:r>
      <w:r w:rsidR="002A1169" w:rsidRPr="00FD62A0">
        <w:rPr>
          <w:rFonts w:ascii="Arial" w:hAnsi="Arial" w:cs="Arial"/>
          <w:sz w:val="22"/>
          <w:szCs w:val="22"/>
        </w:rPr>
        <w:t>SESI</w:t>
      </w:r>
      <w:r w:rsidRPr="00FD62A0">
        <w:rPr>
          <w:rFonts w:ascii="Arial" w:hAnsi="Arial" w:cs="Arial"/>
          <w:sz w:val="22"/>
          <w:szCs w:val="22"/>
        </w:rPr>
        <w:t xml:space="preserve"> foi fundado nos fundamentos do </w:t>
      </w:r>
      <w:r w:rsidR="002A1169" w:rsidRPr="00FD62A0">
        <w:rPr>
          <w:rFonts w:ascii="Arial" w:hAnsi="Arial" w:cs="Arial"/>
          <w:sz w:val="22"/>
          <w:szCs w:val="22"/>
        </w:rPr>
        <w:t>Decreto-lei</w:t>
      </w:r>
      <w:r w:rsidRPr="00FD62A0">
        <w:rPr>
          <w:rFonts w:ascii="Arial" w:hAnsi="Arial" w:cs="Arial"/>
          <w:sz w:val="22"/>
          <w:szCs w:val="22"/>
        </w:rPr>
        <w:t xml:space="preserve"> 9.403, de 25 de junho de 1946, com a missão inicial de atender aos trabalhadores da indústria. De acordo com a Publicação, o </w:t>
      </w:r>
      <w:r w:rsidR="002A1169" w:rsidRPr="00FD62A0">
        <w:rPr>
          <w:rFonts w:ascii="Arial" w:hAnsi="Arial" w:cs="Arial"/>
          <w:sz w:val="22"/>
          <w:szCs w:val="22"/>
        </w:rPr>
        <w:t>SESI</w:t>
      </w:r>
      <w:r w:rsidRPr="00FD62A0">
        <w:rPr>
          <w:rFonts w:ascii="Arial" w:hAnsi="Arial" w:cs="Arial"/>
          <w:sz w:val="22"/>
          <w:szCs w:val="22"/>
        </w:rPr>
        <w:t xml:space="preserve"> foi fundado para conciliar a questão social. Inicialmente, priorizou dois setores estratégicos cruciais: alimentação e abastecimento e educação social. Além disso, no período de criação, houve crescimento significativo da classe operária. Nesse sentido, iniciou-se a preocupação com os trabalhadores, especificamente. A entidade passou a oferecer cursos de corte, costura, higiene, entre outros, no intuito de proporcionar ambiente doméstico saudável para os operários. (</w:t>
      </w:r>
      <w:r w:rsidR="002A1169" w:rsidRPr="00FD62A0">
        <w:rPr>
          <w:rFonts w:ascii="Arial" w:hAnsi="Arial" w:cs="Arial"/>
          <w:sz w:val="22"/>
          <w:szCs w:val="22"/>
        </w:rPr>
        <w:t>SESI</w:t>
      </w:r>
      <w:r w:rsidRPr="00FD62A0">
        <w:rPr>
          <w:rFonts w:ascii="Arial" w:hAnsi="Arial" w:cs="Arial"/>
          <w:sz w:val="22"/>
          <w:szCs w:val="22"/>
        </w:rPr>
        <w:t>, 2008)</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O foco da instituição é assegurar o bem-estar dos trabalhadores da indústria e de atividades semelhantes, possibilitando qualidade de vida tanto aos trabalhadores quanto a seus familiares. No intuito de proporcionar tais benefícios, o </w:t>
      </w:r>
      <w:r w:rsidR="002A1169" w:rsidRPr="00FD62A0">
        <w:rPr>
          <w:rFonts w:ascii="Arial" w:hAnsi="Arial" w:cs="Arial"/>
          <w:sz w:val="22"/>
          <w:szCs w:val="22"/>
        </w:rPr>
        <w:t>SESI</w:t>
      </w:r>
      <w:r w:rsidRPr="00FD62A0">
        <w:rPr>
          <w:rFonts w:ascii="Arial" w:hAnsi="Arial" w:cs="Arial"/>
          <w:sz w:val="22"/>
          <w:szCs w:val="22"/>
        </w:rPr>
        <w:t xml:space="preserve"> toma providências </w:t>
      </w:r>
      <w:r w:rsidRPr="00FD62A0">
        <w:rPr>
          <w:rFonts w:ascii="Arial" w:hAnsi="Arial" w:cs="Arial"/>
          <w:sz w:val="22"/>
          <w:szCs w:val="22"/>
        </w:rPr>
        <w:lastRenderedPageBreak/>
        <w:t>quanto à defesa dos salários reais dos trabalhadores, assistência aos problemas domésticos quanto à habitação, nutrição ou higiene, além de focar em educação, lazer e cultura. (</w:t>
      </w:r>
      <w:r w:rsidR="002A1169" w:rsidRPr="00FD62A0">
        <w:rPr>
          <w:rFonts w:ascii="Arial" w:hAnsi="Arial" w:cs="Arial"/>
          <w:sz w:val="22"/>
          <w:szCs w:val="22"/>
        </w:rPr>
        <w:t>SESI</w:t>
      </w:r>
      <w:r w:rsidRPr="00FD62A0">
        <w:rPr>
          <w:rFonts w:ascii="Arial" w:hAnsi="Arial" w:cs="Arial"/>
          <w:sz w:val="22"/>
          <w:szCs w:val="22"/>
        </w:rPr>
        <w:t>, 2009a)</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Entre as principais atividades desenvolvidas pelo </w:t>
      </w:r>
      <w:r w:rsidR="002A1169" w:rsidRPr="00FD62A0">
        <w:rPr>
          <w:rFonts w:ascii="Arial" w:hAnsi="Arial" w:cs="Arial"/>
          <w:sz w:val="22"/>
          <w:szCs w:val="22"/>
        </w:rPr>
        <w:t>SESI</w:t>
      </w:r>
      <w:r w:rsidRPr="00FD62A0">
        <w:rPr>
          <w:rFonts w:ascii="Arial" w:hAnsi="Arial" w:cs="Arial"/>
          <w:sz w:val="22"/>
          <w:szCs w:val="22"/>
        </w:rPr>
        <w:t xml:space="preserve"> estão a educação, a saúde e o lazer. No âmbito da educação, a instituição promove cursos para educação de jovens e adultos, educação básica para crianças e adolescentes e educação continuidade. Na área de saúde, são oferecidos atendimentos odontológicos, atendimentos de saúde em geral, além de saúde e segurança no trabalho. Quanto ao lazer, o </w:t>
      </w:r>
      <w:r w:rsidR="002A1169" w:rsidRPr="00FD62A0">
        <w:rPr>
          <w:rFonts w:ascii="Arial" w:hAnsi="Arial" w:cs="Arial"/>
          <w:sz w:val="22"/>
          <w:szCs w:val="22"/>
        </w:rPr>
        <w:t>SESI</w:t>
      </w:r>
      <w:r w:rsidRPr="00FD62A0">
        <w:rPr>
          <w:rFonts w:ascii="Arial" w:hAnsi="Arial" w:cs="Arial"/>
          <w:sz w:val="22"/>
          <w:szCs w:val="22"/>
        </w:rPr>
        <w:t xml:space="preserve"> visa promover estilo de vida saudável aos trabalhadores (</w:t>
      </w:r>
      <w:r w:rsidR="002A1169" w:rsidRPr="00FD62A0">
        <w:rPr>
          <w:rFonts w:ascii="Arial" w:hAnsi="Arial" w:cs="Arial"/>
          <w:sz w:val="22"/>
          <w:szCs w:val="22"/>
        </w:rPr>
        <w:t>SESI</w:t>
      </w:r>
      <w:r w:rsidRPr="00FD62A0">
        <w:rPr>
          <w:rFonts w:ascii="Arial" w:hAnsi="Arial" w:cs="Arial"/>
          <w:sz w:val="22"/>
          <w:szCs w:val="22"/>
        </w:rPr>
        <w:t>, 2009b)</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O crescimento de sua área de atuação, e a constante preocupação com a inclusão social, leva o </w:t>
      </w:r>
      <w:r w:rsidR="002A1169" w:rsidRPr="00FD62A0">
        <w:rPr>
          <w:rFonts w:ascii="Arial" w:hAnsi="Arial" w:cs="Arial"/>
          <w:sz w:val="22"/>
          <w:szCs w:val="22"/>
        </w:rPr>
        <w:t>SESI</w:t>
      </w:r>
      <w:r w:rsidRPr="00FD62A0">
        <w:rPr>
          <w:rFonts w:ascii="Arial" w:hAnsi="Arial" w:cs="Arial"/>
          <w:sz w:val="22"/>
          <w:szCs w:val="22"/>
        </w:rPr>
        <w:t xml:space="preserve"> a expandir sua estrutura física, adequando-se às necessidades. A entidade está presente em 26 estados e no Distrito Federal, totalizando 2.006 municípios atendidos. Sua organização compreende 1.963 unidades, divididas em 324 centros de atividade, 891 unidades operacionais e 748 unidades móveis. </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 entidade possui estrutura flexível, adequando-se às necessidades e particularidades das regiões atendidas. Sua organização é composta essencialmente de dois blocos – os órgãos normativos e os órgãos de admini</w:t>
      </w:r>
      <w:r w:rsidR="00BF4427" w:rsidRPr="00FD62A0">
        <w:rPr>
          <w:rFonts w:ascii="Arial" w:hAnsi="Arial" w:cs="Arial"/>
          <w:sz w:val="22"/>
          <w:szCs w:val="22"/>
        </w:rPr>
        <w:t>stração e produção (</w:t>
      </w:r>
      <w:r w:rsidR="002A1169" w:rsidRPr="00FD62A0">
        <w:rPr>
          <w:rFonts w:ascii="Arial" w:hAnsi="Arial" w:cs="Arial"/>
          <w:sz w:val="22"/>
          <w:szCs w:val="22"/>
        </w:rPr>
        <w:t>SESI</w:t>
      </w:r>
      <w:r w:rsidR="00BF4427" w:rsidRPr="00FD62A0">
        <w:rPr>
          <w:rFonts w:ascii="Arial" w:hAnsi="Arial" w:cs="Arial"/>
          <w:sz w:val="22"/>
          <w:szCs w:val="22"/>
        </w:rPr>
        <w:t>, 2009), conforme segue: Órgãos Normativos -</w:t>
      </w:r>
      <w:r w:rsidRPr="00FD62A0">
        <w:rPr>
          <w:rFonts w:ascii="Arial" w:hAnsi="Arial" w:cs="Arial"/>
          <w:sz w:val="22"/>
          <w:szCs w:val="22"/>
        </w:rPr>
        <w:t xml:space="preserve"> formados pelo Conselho Nacional e Conselhos Regionais; e</w:t>
      </w:r>
      <w:r w:rsidR="00BF4427" w:rsidRPr="00FD62A0">
        <w:rPr>
          <w:rFonts w:ascii="Arial" w:hAnsi="Arial" w:cs="Arial"/>
          <w:sz w:val="22"/>
          <w:szCs w:val="22"/>
        </w:rPr>
        <w:t xml:space="preserve"> </w:t>
      </w:r>
      <w:r w:rsidRPr="00FD62A0">
        <w:rPr>
          <w:rFonts w:ascii="Arial" w:hAnsi="Arial" w:cs="Arial"/>
          <w:sz w:val="22"/>
          <w:szCs w:val="22"/>
        </w:rPr>
        <w:t>Órg</w:t>
      </w:r>
      <w:r w:rsidR="00BF4427" w:rsidRPr="00FD62A0">
        <w:rPr>
          <w:rFonts w:ascii="Arial" w:hAnsi="Arial" w:cs="Arial"/>
          <w:sz w:val="22"/>
          <w:szCs w:val="22"/>
        </w:rPr>
        <w:t>ãos de administração e produção -</w:t>
      </w:r>
      <w:r w:rsidRPr="00FD62A0">
        <w:rPr>
          <w:rFonts w:ascii="Arial" w:hAnsi="Arial" w:cs="Arial"/>
          <w:sz w:val="22"/>
          <w:szCs w:val="22"/>
        </w:rPr>
        <w:t xml:space="preserve"> formados pelo Departamento Nacional, Departamentos regionais e Delegacias Regionais</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É através do entrosamento entre os Departamentos Nacional e Regional que o </w:t>
      </w:r>
      <w:r w:rsidR="002A1169" w:rsidRPr="00FD62A0">
        <w:rPr>
          <w:rFonts w:ascii="Arial" w:hAnsi="Arial" w:cs="Arial"/>
          <w:sz w:val="22"/>
          <w:szCs w:val="22"/>
        </w:rPr>
        <w:t>SESI</w:t>
      </w:r>
      <w:r w:rsidRPr="00FD62A0">
        <w:rPr>
          <w:rFonts w:ascii="Arial" w:hAnsi="Arial" w:cs="Arial"/>
          <w:sz w:val="22"/>
          <w:szCs w:val="22"/>
        </w:rPr>
        <w:t xml:space="preserve"> cria as soluções para contribuir com a qualidade de vida da sociedade. O Departamento Nacional estabelece as diretrizes e estratégias para o desenvolvimento do </w:t>
      </w:r>
      <w:r w:rsidR="002A1169" w:rsidRPr="00FD62A0">
        <w:rPr>
          <w:rFonts w:ascii="Arial" w:hAnsi="Arial" w:cs="Arial"/>
          <w:sz w:val="22"/>
          <w:szCs w:val="22"/>
        </w:rPr>
        <w:t>SESI</w:t>
      </w:r>
      <w:r w:rsidRPr="00FD62A0">
        <w:rPr>
          <w:rFonts w:ascii="Arial" w:hAnsi="Arial" w:cs="Arial"/>
          <w:sz w:val="22"/>
          <w:szCs w:val="22"/>
        </w:rPr>
        <w:t>, enquanto os Departamentos Regionais são responsáveis pela execução direta dos programas.</w:t>
      </w:r>
    </w:p>
    <w:p w:rsidR="004D4298" w:rsidRPr="00FD62A0" w:rsidRDefault="004D4298" w:rsidP="00BF4427">
      <w:pPr>
        <w:widowControl w:val="0"/>
        <w:autoSpaceDE w:val="0"/>
        <w:autoSpaceDN w:val="0"/>
        <w:adjustRightInd w:val="0"/>
        <w:spacing w:line="360" w:lineRule="auto"/>
        <w:rPr>
          <w:rFonts w:ascii="Arial" w:hAnsi="Arial" w:cs="Arial"/>
          <w:sz w:val="22"/>
          <w:szCs w:val="22"/>
        </w:rPr>
      </w:pPr>
    </w:p>
    <w:p w:rsidR="004D4298" w:rsidRPr="00FD62A0" w:rsidRDefault="004D4298" w:rsidP="00BF4427">
      <w:pPr>
        <w:widowControl w:val="0"/>
        <w:tabs>
          <w:tab w:val="left" w:pos="1575"/>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 xml:space="preserve">2.3.2. Serviço Social do Comércio – </w:t>
      </w:r>
      <w:r w:rsidR="002A1169" w:rsidRPr="00FD62A0">
        <w:rPr>
          <w:rFonts w:ascii="Arial" w:hAnsi="Arial" w:cs="Arial"/>
          <w:b/>
          <w:iCs/>
          <w:sz w:val="22"/>
          <w:szCs w:val="22"/>
        </w:rPr>
        <w:t>SESC</w:t>
      </w:r>
    </w:p>
    <w:p w:rsidR="004D4298" w:rsidRPr="00FD62A0" w:rsidRDefault="004D4298" w:rsidP="00BF4427">
      <w:pPr>
        <w:widowControl w:val="0"/>
        <w:tabs>
          <w:tab w:val="left" w:pos="1575"/>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O Serviço Social do Comércio (</w:t>
      </w:r>
      <w:r w:rsidR="002A1169" w:rsidRPr="00FD62A0">
        <w:rPr>
          <w:rFonts w:ascii="Arial" w:hAnsi="Arial" w:cs="Arial"/>
          <w:sz w:val="22"/>
          <w:szCs w:val="22"/>
        </w:rPr>
        <w:t>SESC</w:t>
      </w:r>
      <w:r w:rsidRPr="00FD62A0">
        <w:rPr>
          <w:rFonts w:ascii="Arial" w:hAnsi="Arial" w:cs="Arial"/>
          <w:sz w:val="22"/>
          <w:szCs w:val="22"/>
        </w:rPr>
        <w:t xml:space="preserve">) foi criado em 13 de setembro de </w:t>
      </w:r>
      <w:smartTag w:uri="urn:schemas-microsoft-com:office:smarttags" w:element="metricconverter">
        <w:smartTagPr>
          <w:attr w:name="ProductID" w:val="1946, a"/>
        </w:smartTagPr>
        <w:r w:rsidRPr="00FD62A0">
          <w:rPr>
            <w:rFonts w:ascii="Arial" w:hAnsi="Arial" w:cs="Arial"/>
            <w:sz w:val="22"/>
            <w:szCs w:val="22"/>
          </w:rPr>
          <w:t>1946, a</w:t>
        </w:r>
      </w:smartTag>
      <w:r w:rsidRPr="00FD62A0">
        <w:rPr>
          <w:rFonts w:ascii="Arial" w:hAnsi="Arial" w:cs="Arial"/>
          <w:sz w:val="22"/>
          <w:szCs w:val="22"/>
        </w:rPr>
        <w:t xml:space="preserve"> partir da iniciativa de empresários e organizações sindicais, comandadas por João D’audt d’Oliveira. É uma instituição de direito privado, dirigido pela Confederação Nacional do Comércio (CNC). A entidade tem como foco principal o bem-estar da população de modo geral, e dos comerciários em particular.</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Buscando estabelecer as diretrizes do </w:t>
      </w:r>
      <w:r w:rsidR="002A1169" w:rsidRPr="00FD62A0">
        <w:rPr>
          <w:rFonts w:ascii="Arial" w:hAnsi="Arial" w:cs="Arial"/>
          <w:sz w:val="22"/>
          <w:szCs w:val="22"/>
        </w:rPr>
        <w:t>SESC</w:t>
      </w:r>
      <w:r w:rsidRPr="00FD62A0">
        <w:rPr>
          <w:rFonts w:ascii="Arial" w:hAnsi="Arial" w:cs="Arial"/>
          <w:sz w:val="22"/>
          <w:szCs w:val="22"/>
        </w:rPr>
        <w:t>, seu o Artigo 1º de seu regimento assim o define:</w:t>
      </w:r>
    </w:p>
    <w:p w:rsidR="004D4298" w:rsidRPr="00FD62A0" w:rsidRDefault="009A6F2D" w:rsidP="00BF4427">
      <w:pPr>
        <w:widowControl w:val="0"/>
        <w:autoSpaceDE w:val="0"/>
        <w:autoSpaceDN w:val="0"/>
        <w:adjustRightInd w:val="0"/>
        <w:spacing w:line="360" w:lineRule="auto"/>
        <w:ind w:left="709"/>
        <w:jc w:val="both"/>
        <w:rPr>
          <w:rFonts w:ascii="Arial" w:hAnsi="Arial" w:cs="Arial"/>
          <w:sz w:val="20"/>
          <w:szCs w:val="20"/>
        </w:rPr>
      </w:pPr>
      <w:r>
        <w:rPr>
          <w:rFonts w:ascii="Arial" w:hAnsi="Arial" w:cs="Arial"/>
          <w:sz w:val="20"/>
          <w:szCs w:val="20"/>
        </w:rPr>
        <w:t>O</w:t>
      </w:r>
      <w:r w:rsidR="004D4298" w:rsidRPr="00FD62A0">
        <w:rPr>
          <w:rFonts w:ascii="Arial" w:hAnsi="Arial" w:cs="Arial"/>
          <w:sz w:val="20"/>
          <w:szCs w:val="20"/>
        </w:rPr>
        <w:t xml:space="preserve"> Serviço Social do Comércio (</w:t>
      </w:r>
      <w:r w:rsidR="002A1169" w:rsidRPr="00FD62A0">
        <w:rPr>
          <w:rFonts w:ascii="Arial" w:hAnsi="Arial" w:cs="Arial"/>
          <w:sz w:val="20"/>
          <w:szCs w:val="20"/>
        </w:rPr>
        <w:t>SESC</w:t>
      </w:r>
      <w:r w:rsidR="004D4298" w:rsidRPr="00FD62A0">
        <w:rPr>
          <w:rFonts w:ascii="Arial" w:hAnsi="Arial" w:cs="Arial"/>
          <w:sz w:val="20"/>
          <w:szCs w:val="20"/>
        </w:rPr>
        <w:t xml:space="preserve">), criado pela Confederação Nacional do Comércio, nos termos do </w:t>
      </w:r>
      <w:r w:rsidR="002A1169" w:rsidRPr="00FD62A0">
        <w:rPr>
          <w:rFonts w:ascii="Arial" w:hAnsi="Arial" w:cs="Arial"/>
          <w:sz w:val="20"/>
          <w:szCs w:val="20"/>
        </w:rPr>
        <w:t>Decreto-lei</w:t>
      </w:r>
      <w:r w:rsidR="004D4298" w:rsidRPr="00FD62A0">
        <w:rPr>
          <w:rFonts w:ascii="Arial" w:hAnsi="Arial" w:cs="Arial"/>
          <w:sz w:val="20"/>
          <w:szCs w:val="20"/>
        </w:rPr>
        <w:t xml:space="preserve"> nº 9.853, de 13 de setembro de 1946, tem por finalidade estudar, </w:t>
      </w:r>
      <w:r w:rsidR="004D4298" w:rsidRPr="00FD62A0">
        <w:rPr>
          <w:rFonts w:ascii="Arial" w:hAnsi="Arial" w:cs="Arial"/>
          <w:sz w:val="20"/>
          <w:szCs w:val="20"/>
        </w:rPr>
        <w:lastRenderedPageBreak/>
        <w:t>planejar e executar medidas que contribuam para o bem-estar social e a melhoria do padrão de vida dos comerciários e suas famílias e, bem assim, para o aperfeiçoamento moral e cívico da coletividade, através de uma ação educativa que, partindo da realidade social do país, exercite os indivíduos e os grupos para adequada e solidária integraçã</w:t>
      </w:r>
      <w:r w:rsidR="004F4AA9" w:rsidRPr="00FD62A0">
        <w:rPr>
          <w:rFonts w:ascii="Arial" w:hAnsi="Arial" w:cs="Arial"/>
          <w:sz w:val="20"/>
          <w:szCs w:val="20"/>
        </w:rPr>
        <w:t>o numa sociedade democrática...</w:t>
      </w:r>
      <w:r w:rsidR="004D4298" w:rsidRPr="00FD62A0">
        <w:rPr>
          <w:rFonts w:ascii="Arial" w:hAnsi="Arial" w:cs="Arial"/>
          <w:sz w:val="20"/>
          <w:szCs w:val="20"/>
        </w:rPr>
        <w:t xml:space="preserve"> (</w:t>
      </w:r>
      <w:r w:rsidR="002A1169" w:rsidRPr="00FD62A0">
        <w:rPr>
          <w:rFonts w:ascii="Arial" w:hAnsi="Arial" w:cs="Arial"/>
          <w:sz w:val="20"/>
          <w:szCs w:val="20"/>
        </w:rPr>
        <w:t>SESC</w:t>
      </w:r>
      <w:r w:rsidR="004D4298" w:rsidRPr="00FD62A0">
        <w:rPr>
          <w:rFonts w:ascii="Arial" w:hAnsi="Arial" w:cs="Arial"/>
          <w:sz w:val="20"/>
          <w:szCs w:val="20"/>
        </w:rPr>
        <w:t>, 2007)</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Deste artigo infere-se que o </w:t>
      </w:r>
      <w:r w:rsidR="002A1169" w:rsidRPr="00FD62A0">
        <w:rPr>
          <w:rFonts w:ascii="Arial" w:hAnsi="Arial" w:cs="Arial"/>
          <w:sz w:val="22"/>
          <w:szCs w:val="22"/>
        </w:rPr>
        <w:t>SESC</w:t>
      </w:r>
      <w:r w:rsidRPr="00FD62A0">
        <w:rPr>
          <w:rFonts w:ascii="Arial" w:hAnsi="Arial" w:cs="Arial"/>
          <w:sz w:val="22"/>
          <w:szCs w:val="22"/>
        </w:rPr>
        <w:t>, na condição de entidade privada, é voltado para a sociedade e suas necessidades. Nesse sentido, o parágrafo único do artigo 1º de seu regulamento trata do aspecto das parcerias com o setor público e privado na execução de suas funções, como segue:</w:t>
      </w:r>
    </w:p>
    <w:p w:rsidR="004D4298" w:rsidRPr="00FD62A0" w:rsidRDefault="004D4298" w:rsidP="00BF4427">
      <w:pPr>
        <w:widowControl w:val="0"/>
        <w:autoSpaceDE w:val="0"/>
        <w:autoSpaceDN w:val="0"/>
        <w:adjustRightInd w:val="0"/>
        <w:spacing w:line="360" w:lineRule="auto"/>
        <w:ind w:left="709"/>
        <w:jc w:val="both"/>
        <w:rPr>
          <w:rFonts w:ascii="Arial" w:hAnsi="Arial" w:cs="Arial"/>
          <w:sz w:val="20"/>
          <w:szCs w:val="20"/>
        </w:rPr>
      </w:pPr>
      <w:r w:rsidRPr="00FD62A0">
        <w:rPr>
          <w:rFonts w:ascii="Arial" w:hAnsi="Arial" w:cs="Arial"/>
          <w:sz w:val="20"/>
          <w:szCs w:val="20"/>
        </w:rPr>
        <w:t>A instituição desempenhará suas atribuições em cooperação com os órgãos afins existentes no Ministério do Trabalho e Previdência Social, e quaisquer outras entidades públicas ou privadas de serviço social. (</w:t>
      </w:r>
      <w:r w:rsidR="002A1169" w:rsidRPr="00FD62A0">
        <w:rPr>
          <w:rFonts w:ascii="Arial" w:hAnsi="Arial" w:cs="Arial"/>
          <w:sz w:val="20"/>
          <w:szCs w:val="20"/>
        </w:rPr>
        <w:t>SESC</w:t>
      </w:r>
      <w:r w:rsidRPr="00FD62A0">
        <w:rPr>
          <w:rFonts w:ascii="Arial" w:hAnsi="Arial" w:cs="Arial"/>
          <w:sz w:val="20"/>
          <w:szCs w:val="20"/>
        </w:rPr>
        <w:t>, 2007)</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No aspecto sócio-econômico, o grupo atendido pelo </w:t>
      </w:r>
      <w:r w:rsidR="002A1169" w:rsidRPr="00FD62A0">
        <w:rPr>
          <w:rFonts w:ascii="Arial" w:hAnsi="Arial" w:cs="Arial"/>
          <w:sz w:val="22"/>
          <w:szCs w:val="22"/>
        </w:rPr>
        <w:t>SESC</w:t>
      </w:r>
      <w:r w:rsidRPr="00FD62A0">
        <w:rPr>
          <w:rFonts w:ascii="Arial" w:hAnsi="Arial" w:cs="Arial"/>
          <w:sz w:val="22"/>
          <w:szCs w:val="22"/>
        </w:rPr>
        <w:t xml:space="preserve">, notadamente os comerciários e seus familiares, caracteriza-se por possuir em sua maioria, renda baixa. Nesse sentido, o </w:t>
      </w:r>
      <w:r w:rsidR="002A1169" w:rsidRPr="00FD62A0">
        <w:rPr>
          <w:rFonts w:ascii="Arial" w:hAnsi="Arial" w:cs="Arial"/>
          <w:sz w:val="22"/>
          <w:szCs w:val="22"/>
        </w:rPr>
        <w:t>SESC</w:t>
      </w:r>
      <w:r w:rsidRPr="00FD62A0">
        <w:rPr>
          <w:rFonts w:ascii="Arial" w:hAnsi="Arial" w:cs="Arial"/>
          <w:sz w:val="22"/>
          <w:szCs w:val="22"/>
        </w:rPr>
        <w:t xml:space="preserve"> atua aonde o Estado ainda não conseguiu implementar mudanças permanentes, buscando então, atender aos mais necessitados em escala tão abrangente quanto possível. (</w:t>
      </w:r>
      <w:r w:rsidR="002A1169" w:rsidRPr="00FD62A0">
        <w:rPr>
          <w:rFonts w:ascii="Arial" w:hAnsi="Arial" w:cs="Arial"/>
          <w:sz w:val="22"/>
          <w:szCs w:val="22"/>
        </w:rPr>
        <w:t>SESC</w:t>
      </w:r>
      <w:r w:rsidRPr="00FD62A0">
        <w:rPr>
          <w:rFonts w:ascii="Arial" w:hAnsi="Arial" w:cs="Arial"/>
          <w:sz w:val="22"/>
          <w:szCs w:val="22"/>
        </w:rPr>
        <w:t>, 2004)</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Outro fator a se considerar é a diversidade encontrada no público do </w:t>
      </w:r>
      <w:r w:rsidR="002A1169" w:rsidRPr="00FD62A0">
        <w:rPr>
          <w:rFonts w:ascii="Arial" w:hAnsi="Arial" w:cs="Arial"/>
          <w:sz w:val="22"/>
          <w:szCs w:val="22"/>
        </w:rPr>
        <w:t>SESC</w:t>
      </w:r>
      <w:r w:rsidRPr="00FD62A0">
        <w:rPr>
          <w:rFonts w:ascii="Arial" w:hAnsi="Arial" w:cs="Arial"/>
          <w:sz w:val="22"/>
          <w:szCs w:val="22"/>
        </w:rPr>
        <w:t xml:space="preserve">. Por um lado, há um grupo predominante de baixa renda, que busca em sua maioria atendimento básico em áreas como saúde e educação. Em contrapartida, há outro grupo, com renda mais elevada que demanda cada vez mais tempo livre e atividades de lazer e cultura. A esse grupo, o </w:t>
      </w:r>
      <w:r w:rsidR="002A1169" w:rsidRPr="00FD62A0">
        <w:rPr>
          <w:rFonts w:ascii="Arial" w:hAnsi="Arial" w:cs="Arial"/>
          <w:sz w:val="22"/>
          <w:szCs w:val="22"/>
        </w:rPr>
        <w:t>SESC</w:t>
      </w:r>
      <w:r w:rsidRPr="00FD62A0">
        <w:rPr>
          <w:rFonts w:ascii="Arial" w:hAnsi="Arial" w:cs="Arial"/>
          <w:sz w:val="22"/>
          <w:szCs w:val="22"/>
        </w:rPr>
        <w:t xml:space="preserve"> atende oferecendo aulas diversas, esportes, clubes, entre outros. (</w:t>
      </w:r>
      <w:r w:rsidR="002A1169" w:rsidRPr="00FD62A0">
        <w:rPr>
          <w:rFonts w:ascii="Arial" w:hAnsi="Arial" w:cs="Arial"/>
          <w:sz w:val="22"/>
          <w:szCs w:val="22"/>
        </w:rPr>
        <w:t>SESC</w:t>
      </w:r>
      <w:r w:rsidRPr="00FD62A0">
        <w:rPr>
          <w:rFonts w:ascii="Arial" w:hAnsi="Arial" w:cs="Arial"/>
          <w:sz w:val="22"/>
          <w:szCs w:val="22"/>
        </w:rPr>
        <w:t>, 2004).</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Considerando-se os princípios básicos que o regem, o </w:t>
      </w:r>
      <w:r w:rsidR="002A1169" w:rsidRPr="00FD62A0">
        <w:rPr>
          <w:rFonts w:ascii="Arial" w:hAnsi="Arial" w:cs="Arial"/>
          <w:sz w:val="22"/>
          <w:szCs w:val="22"/>
        </w:rPr>
        <w:t>SESC</w:t>
      </w:r>
      <w:r w:rsidRPr="00FD62A0">
        <w:rPr>
          <w:rFonts w:ascii="Arial" w:hAnsi="Arial" w:cs="Arial"/>
          <w:sz w:val="22"/>
          <w:szCs w:val="22"/>
        </w:rPr>
        <w:t xml:space="preserve"> reafirma as principais finalidades de sua origem, que são contribuir para a melhoria da qualidade de vida dos associados, assim como para o desenvolvimento econômico e social, visando garantir melhores condições de vida para a sociedade.</w:t>
      </w:r>
    </w:p>
    <w:p w:rsidR="007F3670" w:rsidRPr="00FD62A0" w:rsidRDefault="007F3670"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b/>
          <w:iCs/>
          <w:sz w:val="22"/>
          <w:szCs w:val="22"/>
        </w:rPr>
      </w:pPr>
      <w:r w:rsidRPr="00FD62A0">
        <w:rPr>
          <w:rFonts w:ascii="Arial" w:hAnsi="Arial" w:cs="Arial"/>
          <w:b/>
          <w:iCs/>
          <w:sz w:val="22"/>
          <w:szCs w:val="22"/>
        </w:rPr>
        <w:t xml:space="preserve">2.3.3. Serviço Nacional de Aprendizagem Industrial – </w:t>
      </w:r>
      <w:r w:rsidR="002A1169" w:rsidRPr="00FD62A0">
        <w:rPr>
          <w:rFonts w:ascii="Arial" w:hAnsi="Arial" w:cs="Arial"/>
          <w:b/>
          <w:iCs/>
          <w:sz w:val="22"/>
          <w:szCs w:val="22"/>
        </w:rPr>
        <w:t>SENAI</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xml:space="preserve">O </w:t>
      </w:r>
      <w:r w:rsidR="002A1169" w:rsidRPr="00FD62A0">
        <w:rPr>
          <w:rFonts w:ascii="Arial" w:hAnsi="Arial" w:cs="Arial"/>
          <w:sz w:val="22"/>
          <w:szCs w:val="22"/>
        </w:rPr>
        <w:t>SENAI</w:t>
      </w:r>
      <w:r w:rsidRPr="00FD62A0">
        <w:rPr>
          <w:rFonts w:ascii="Arial" w:hAnsi="Arial" w:cs="Arial"/>
          <w:sz w:val="22"/>
          <w:szCs w:val="22"/>
        </w:rPr>
        <w:t xml:space="preserve"> foi criado em 1942, pelo </w:t>
      </w:r>
      <w:r w:rsidR="002A1169" w:rsidRPr="00FD62A0">
        <w:rPr>
          <w:rFonts w:ascii="Arial" w:hAnsi="Arial" w:cs="Arial"/>
          <w:sz w:val="22"/>
          <w:szCs w:val="22"/>
        </w:rPr>
        <w:t>Decreto-lei</w:t>
      </w:r>
      <w:r w:rsidRPr="00FD62A0">
        <w:rPr>
          <w:rFonts w:ascii="Arial" w:hAnsi="Arial" w:cs="Arial"/>
          <w:sz w:val="22"/>
          <w:szCs w:val="22"/>
        </w:rPr>
        <w:t xml:space="preserve"> nº 4.048, de 22 de janeiro de 1942, com o intuito de formar mão-de-obra qualificada para o crescente ramo da indústria, funcionando como gerador e difusor de conhecimento dentro de sua área. A iniciativa partiu do empresariado do setor de indústria, sendo que ficou a cargo deste, através da Confederação Nacional da Indústria, os encargos e a responsabilidade pela organização e direção de um organismo próprio. O Regimento Interno, aprova do pelo Decreto 494, de 10 de janeiro de 1962, elenca como seus principais objetivos:</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lastRenderedPageBreak/>
        <w:t>- Realizar a aprendizagem industrial, em escolas instaladas e mantidas pela Instituição;</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Auxiliar os empregadores a desenvolver e executar programas de treinamento para seus funcionários, assim como estimular a aprendizagem metódica dentro do emprego;</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xml:space="preserve">- Oferecer bolsas de estudo e de aperfeiçoamento aos empregados de alto nível das empresas contribuintes, assim como a diversos funcionários do próprio </w:t>
      </w:r>
      <w:r w:rsidR="002A1169" w:rsidRPr="00FD62A0">
        <w:rPr>
          <w:rFonts w:ascii="Arial" w:hAnsi="Arial" w:cs="Arial"/>
          <w:sz w:val="22"/>
          <w:szCs w:val="22"/>
        </w:rPr>
        <w:t>SENAI</w:t>
      </w:r>
      <w:r w:rsidRPr="00FD62A0">
        <w:rPr>
          <w:rFonts w:ascii="Arial" w:hAnsi="Arial" w:cs="Arial"/>
          <w:sz w:val="22"/>
          <w:szCs w:val="22"/>
        </w:rPr>
        <w:t>;</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Estimular o desenvolvimento de pesquisas tecnológicas de relevância para o setor de Indústria (</w:t>
      </w:r>
      <w:r w:rsidR="002A1169" w:rsidRPr="00FD62A0">
        <w:rPr>
          <w:rFonts w:ascii="Arial" w:hAnsi="Arial" w:cs="Arial"/>
          <w:sz w:val="22"/>
          <w:szCs w:val="22"/>
        </w:rPr>
        <w:t>SENAI</w:t>
      </w:r>
      <w:r w:rsidRPr="00FD62A0">
        <w:rPr>
          <w:rFonts w:ascii="Arial" w:hAnsi="Arial" w:cs="Arial"/>
          <w:sz w:val="22"/>
          <w:szCs w:val="22"/>
        </w:rPr>
        <w:t>, 2009)</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 Sua missão, conforme estabelecido no Plano Estratégico do Sistema Indústria 2006-2010, sua missão é "Promover a educação profissional e tecnológica, a inovação e a transferência de tecnologias industriais, contribuindo para elevar a competitividade da indústria brasileira."</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 Sua organização compreende órgãos normativos e órgãos de administração, tanto de âmbito nacional quanto regional. Os normativos são o Conselho Nacional e os Conselhos Regionais, enquanto os de administração são o Departamento Nacional e os Departamentos Regionais. (</w:t>
      </w:r>
      <w:r w:rsidR="002A1169" w:rsidRPr="00FD62A0">
        <w:rPr>
          <w:rFonts w:ascii="Arial" w:hAnsi="Arial" w:cs="Arial"/>
          <w:sz w:val="22"/>
          <w:szCs w:val="22"/>
        </w:rPr>
        <w:t>SENAI</w:t>
      </w:r>
      <w:r w:rsidRPr="00FD62A0">
        <w:rPr>
          <w:rFonts w:ascii="Arial" w:hAnsi="Arial" w:cs="Arial"/>
          <w:sz w:val="22"/>
          <w:szCs w:val="22"/>
        </w:rPr>
        <w:t xml:space="preserve">, 2009) Além disso, sua estrutura física é formada por 738 unidades operacionais, sendo 454 unidades fixas e 284 unidades móveis. </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Dentro destas unidades, os principais ramos atendidos pelo </w:t>
      </w:r>
      <w:r w:rsidR="002A1169" w:rsidRPr="00FD62A0">
        <w:rPr>
          <w:rFonts w:ascii="Arial" w:hAnsi="Arial" w:cs="Arial"/>
          <w:sz w:val="22"/>
          <w:szCs w:val="22"/>
        </w:rPr>
        <w:t>SENAI</w:t>
      </w:r>
      <w:r w:rsidRPr="00FD62A0">
        <w:rPr>
          <w:rFonts w:ascii="Arial" w:hAnsi="Arial" w:cs="Arial"/>
          <w:sz w:val="22"/>
          <w:szCs w:val="22"/>
        </w:rPr>
        <w:t xml:space="preserve"> são o de Educação profissional e tecnológica e Inovação e Tecnologia. De acordo com o Painel Indicadores </w:t>
      </w:r>
      <w:r w:rsidR="002A1169" w:rsidRPr="00FD62A0">
        <w:rPr>
          <w:rFonts w:ascii="Arial" w:hAnsi="Arial" w:cs="Arial"/>
          <w:sz w:val="22"/>
          <w:szCs w:val="22"/>
        </w:rPr>
        <w:t>SENAI</w:t>
      </w:r>
      <w:r w:rsidRPr="00FD62A0">
        <w:rPr>
          <w:rFonts w:ascii="Arial" w:hAnsi="Arial" w:cs="Arial"/>
          <w:sz w:val="22"/>
          <w:szCs w:val="22"/>
        </w:rPr>
        <w:t>, no setor de educação profissional e tecnológica, a instituição oferece cursos nas áreas de Iniciação profissional, Formação iniciada e continuada de trabalhadores, Educação profissional técnica de nível médio e educação superior. Na área de Inovação e tecnologia, são prestados atendimentos em desenvolvimento tecnológico, serviços técnicos especializados, assessoria técnica e tecnológica, informação tecnológica, e certificação de processos e produtos.</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b/>
          <w:sz w:val="22"/>
          <w:szCs w:val="22"/>
        </w:rPr>
      </w:pPr>
      <w:r w:rsidRPr="00FD62A0">
        <w:rPr>
          <w:rFonts w:ascii="Arial" w:hAnsi="Arial" w:cs="Arial"/>
          <w:b/>
          <w:sz w:val="22"/>
          <w:szCs w:val="22"/>
        </w:rPr>
        <w:t xml:space="preserve">2.3.4. Serviço Nacional de Aprendizagem Comercial - </w:t>
      </w:r>
      <w:r w:rsidR="002A1169" w:rsidRPr="00FD62A0">
        <w:rPr>
          <w:rFonts w:ascii="Arial" w:hAnsi="Arial" w:cs="Arial"/>
          <w:b/>
          <w:sz w:val="22"/>
          <w:szCs w:val="22"/>
        </w:rPr>
        <w:t>SENAC</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xml:space="preserve">O </w:t>
      </w:r>
      <w:r w:rsidR="002A1169" w:rsidRPr="00FD62A0">
        <w:rPr>
          <w:rFonts w:ascii="Arial" w:hAnsi="Arial" w:cs="Arial"/>
          <w:sz w:val="22"/>
          <w:szCs w:val="22"/>
        </w:rPr>
        <w:t>SENAC</w:t>
      </w:r>
      <w:r w:rsidRPr="00FD62A0">
        <w:rPr>
          <w:rFonts w:ascii="Arial" w:hAnsi="Arial" w:cs="Arial"/>
          <w:sz w:val="22"/>
          <w:szCs w:val="22"/>
        </w:rPr>
        <w:t xml:space="preserve"> foi instituído pelo </w:t>
      </w:r>
      <w:r w:rsidR="002A1169" w:rsidRPr="00FD62A0">
        <w:rPr>
          <w:rFonts w:ascii="Arial" w:hAnsi="Arial" w:cs="Arial"/>
          <w:sz w:val="22"/>
          <w:szCs w:val="22"/>
        </w:rPr>
        <w:t>Decreto-lei</w:t>
      </w:r>
      <w:r w:rsidRPr="00FD62A0">
        <w:rPr>
          <w:rFonts w:ascii="Arial" w:hAnsi="Arial" w:cs="Arial"/>
          <w:sz w:val="22"/>
          <w:szCs w:val="22"/>
        </w:rPr>
        <w:t xml:space="preserve"> 8.621, de 1º de janeiro de 1946, pela Confederação Nacional do Comércio, com a missão de oferecer educação profissionalizante em larga escala. Sua atuação ocorre principalmente no sentido de capacitar os trabalhadores do setor de comércio. Para tanto, seu Regimento determina entre seus principais objetivos:</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Realizar a aprendizagem comercial, através de cursos em escolas ou centros instituídos pela Instituição;</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Organizar e manter cursos práticos ou de qualificação para os comerciários;</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 assistir os empregadores do setor de comércio na execução de treinamento dos funcionários;</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lastRenderedPageBreak/>
        <w:t>- Colaborar na difusão e aperfeiçoamento do ensino comercial de formação.</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(Decreto nº 60.343/67)</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Para a consecução de seus objetivos, compete ao </w:t>
      </w:r>
      <w:r w:rsidR="002A1169" w:rsidRPr="00FD62A0">
        <w:rPr>
          <w:rFonts w:ascii="Arial" w:hAnsi="Arial" w:cs="Arial"/>
          <w:sz w:val="22"/>
          <w:szCs w:val="22"/>
        </w:rPr>
        <w:t>SENAC</w:t>
      </w:r>
      <w:r w:rsidRPr="00FD62A0">
        <w:rPr>
          <w:rFonts w:ascii="Arial" w:hAnsi="Arial" w:cs="Arial"/>
          <w:sz w:val="22"/>
          <w:szCs w:val="22"/>
        </w:rPr>
        <w:t xml:space="preserve"> utilizar os recursos educativos promovendo cursos e atividades especializadas para fornecer aprendizagem comercial e treinamento aos comerciários. Além disso, a instituição deve conceder bolsas de estudo, contratar técnicos para aperfeiçoamento de seu serviço, estabelecer convênios, contratos e acordos que possibilitem a formação profissional e fomentem a pesquisa na área. (Decreto nº 60.343/67)</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Hoje o </w:t>
      </w:r>
      <w:r w:rsidR="002A1169" w:rsidRPr="00FD62A0">
        <w:rPr>
          <w:rFonts w:ascii="Arial" w:hAnsi="Arial" w:cs="Arial"/>
          <w:sz w:val="22"/>
          <w:szCs w:val="22"/>
        </w:rPr>
        <w:t>SENAC</w:t>
      </w:r>
      <w:r w:rsidRPr="00FD62A0">
        <w:rPr>
          <w:rFonts w:ascii="Arial" w:hAnsi="Arial" w:cs="Arial"/>
          <w:sz w:val="22"/>
          <w:szCs w:val="22"/>
        </w:rPr>
        <w:t xml:space="preserve"> conta com 485 unidades operativas, sendo 35 administrativas e 450 escolares. Além de suas unidades fixas, o </w:t>
      </w:r>
      <w:r w:rsidR="002A1169" w:rsidRPr="00FD62A0">
        <w:rPr>
          <w:rFonts w:ascii="Arial" w:hAnsi="Arial" w:cs="Arial"/>
          <w:sz w:val="22"/>
          <w:szCs w:val="22"/>
        </w:rPr>
        <w:t>SENAC</w:t>
      </w:r>
      <w:r w:rsidRPr="00FD62A0">
        <w:rPr>
          <w:rFonts w:ascii="Arial" w:hAnsi="Arial" w:cs="Arial"/>
          <w:sz w:val="22"/>
          <w:szCs w:val="22"/>
        </w:rPr>
        <w:t xml:space="preserve"> atua também por meio de carretas-escola e balsas-escola, somando aproximadamente </w:t>
      </w:r>
      <w:smartTag w:uri="urn:schemas-microsoft-com:office:smarttags" w:element="metricconverter">
        <w:smartTagPr>
          <w:attr w:name="ProductID" w:val="70. A"/>
        </w:smartTagPr>
        <w:r w:rsidRPr="00FD62A0">
          <w:rPr>
            <w:rFonts w:ascii="Arial" w:hAnsi="Arial" w:cs="Arial"/>
            <w:sz w:val="22"/>
            <w:szCs w:val="22"/>
          </w:rPr>
          <w:t>70. A</w:t>
        </w:r>
      </w:smartTag>
      <w:r w:rsidRPr="00FD62A0">
        <w:rPr>
          <w:rFonts w:ascii="Arial" w:hAnsi="Arial" w:cs="Arial"/>
          <w:sz w:val="22"/>
          <w:szCs w:val="22"/>
        </w:rPr>
        <w:t xml:space="preserve"> instituição oferece atividades em áreas diversas, entre elas comércio, artes, design, imagem pessoal, informática, saúde, telecomunicações, entre outros. </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O </w:t>
      </w:r>
      <w:r w:rsidR="002A1169" w:rsidRPr="00FD62A0">
        <w:rPr>
          <w:rFonts w:ascii="Arial" w:hAnsi="Arial" w:cs="Arial"/>
          <w:sz w:val="22"/>
          <w:szCs w:val="22"/>
        </w:rPr>
        <w:t>SENAC</w:t>
      </w:r>
      <w:r w:rsidRPr="00FD62A0">
        <w:rPr>
          <w:rFonts w:ascii="Arial" w:hAnsi="Arial" w:cs="Arial"/>
          <w:sz w:val="22"/>
          <w:szCs w:val="22"/>
        </w:rPr>
        <w:t xml:space="preserve"> é estruturado com base na Administração Nacional e nas Administrações Regionais. A administração Nacional é composta por três órgãos, a saber:</w:t>
      </w:r>
      <w:r w:rsidR="0045018A" w:rsidRPr="00FD62A0">
        <w:rPr>
          <w:rFonts w:ascii="Arial" w:hAnsi="Arial" w:cs="Arial"/>
          <w:sz w:val="22"/>
          <w:szCs w:val="22"/>
        </w:rPr>
        <w:t xml:space="preserve"> </w:t>
      </w:r>
      <w:r w:rsidRPr="00FD62A0">
        <w:rPr>
          <w:rFonts w:ascii="Arial" w:hAnsi="Arial" w:cs="Arial"/>
          <w:sz w:val="22"/>
          <w:szCs w:val="22"/>
        </w:rPr>
        <w:t>Conselho Nacional: órgão deliberativo;</w:t>
      </w:r>
      <w:r w:rsidR="0045018A" w:rsidRPr="00FD62A0">
        <w:rPr>
          <w:rFonts w:ascii="Arial" w:hAnsi="Arial" w:cs="Arial"/>
          <w:sz w:val="22"/>
          <w:szCs w:val="22"/>
        </w:rPr>
        <w:t xml:space="preserve"> </w:t>
      </w:r>
      <w:r w:rsidRPr="00FD62A0">
        <w:rPr>
          <w:rFonts w:ascii="Arial" w:hAnsi="Arial" w:cs="Arial"/>
          <w:sz w:val="22"/>
          <w:szCs w:val="22"/>
        </w:rPr>
        <w:t>Departamento Nacional: órgão executivo;</w:t>
      </w:r>
      <w:r w:rsidR="0045018A" w:rsidRPr="00FD62A0">
        <w:rPr>
          <w:rFonts w:ascii="Arial" w:hAnsi="Arial" w:cs="Arial"/>
          <w:sz w:val="22"/>
          <w:szCs w:val="22"/>
        </w:rPr>
        <w:t xml:space="preserve"> </w:t>
      </w:r>
      <w:r w:rsidRPr="00FD62A0">
        <w:rPr>
          <w:rFonts w:ascii="Arial" w:hAnsi="Arial" w:cs="Arial"/>
          <w:sz w:val="22"/>
          <w:szCs w:val="22"/>
        </w:rPr>
        <w:t>Conselho Fiscal: ó</w:t>
      </w:r>
      <w:r w:rsidR="0045018A" w:rsidRPr="00FD62A0">
        <w:rPr>
          <w:rFonts w:ascii="Arial" w:hAnsi="Arial" w:cs="Arial"/>
          <w:sz w:val="22"/>
          <w:szCs w:val="22"/>
        </w:rPr>
        <w:t>rgão de fiscalização financeira. A</w:t>
      </w:r>
      <w:r w:rsidRPr="00FD62A0">
        <w:rPr>
          <w:rFonts w:ascii="Arial" w:hAnsi="Arial" w:cs="Arial"/>
          <w:sz w:val="22"/>
          <w:szCs w:val="22"/>
        </w:rPr>
        <w:t>s Administrações Regionais a seu turno, são compostas por dois órgãos:</w:t>
      </w:r>
      <w:r w:rsidR="0045018A" w:rsidRPr="00FD62A0">
        <w:rPr>
          <w:rFonts w:ascii="Arial" w:hAnsi="Arial" w:cs="Arial"/>
          <w:sz w:val="22"/>
          <w:szCs w:val="22"/>
        </w:rPr>
        <w:t xml:space="preserve"> </w:t>
      </w:r>
      <w:r w:rsidRPr="00FD62A0">
        <w:rPr>
          <w:rFonts w:ascii="Arial" w:hAnsi="Arial" w:cs="Arial"/>
          <w:sz w:val="22"/>
          <w:szCs w:val="22"/>
        </w:rPr>
        <w:t>Conselho Regional: órgão deliberativo;</w:t>
      </w:r>
      <w:r w:rsidR="0045018A" w:rsidRPr="00FD62A0">
        <w:rPr>
          <w:rFonts w:ascii="Arial" w:hAnsi="Arial" w:cs="Arial"/>
          <w:sz w:val="22"/>
          <w:szCs w:val="22"/>
        </w:rPr>
        <w:t xml:space="preserve"> </w:t>
      </w:r>
      <w:r w:rsidRPr="00FD62A0">
        <w:rPr>
          <w:rFonts w:ascii="Arial" w:hAnsi="Arial" w:cs="Arial"/>
          <w:sz w:val="22"/>
          <w:szCs w:val="22"/>
        </w:rPr>
        <w:t>Departa</w:t>
      </w:r>
      <w:r w:rsidR="0045018A" w:rsidRPr="00FD62A0">
        <w:rPr>
          <w:rFonts w:ascii="Arial" w:hAnsi="Arial" w:cs="Arial"/>
          <w:sz w:val="22"/>
          <w:szCs w:val="22"/>
        </w:rPr>
        <w:t xml:space="preserve">mento Regional: órgão executivo. </w:t>
      </w:r>
      <w:r w:rsidRPr="00FD62A0">
        <w:rPr>
          <w:rFonts w:ascii="Arial" w:hAnsi="Arial" w:cs="Arial"/>
          <w:sz w:val="22"/>
          <w:szCs w:val="22"/>
        </w:rPr>
        <w:t>(Decreto nº 60.343/67)</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b/>
          <w:sz w:val="22"/>
          <w:szCs w:val="22"/>
        </w:rPr>
      </w:pPr>
      <w:r w:rsidRPr="00FD62A0">
        <w:rPr>
          <w:rFonts w:ascii="Arial" w:hAnsi="Arial" w:cs="Arial"/>
          <w:b/>
          <w:iCs/>
          <w:sz w:val="22"/>
          <w:szCs w:val="22"/>
        </w:rPr>
        <w:t>2.4. Ministério do Turismo</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O Ministério do Turismo é o órgão executivo responsável pelo desenvolvimento do Turismo no país, assim como por sua promoção e divulgação no exterior. O Ministério surgiu com a missão de “Desenvolver o turismo como uma atividade econômica sustentável, com papel relevante na geração de empregos e divisas, proporcionando a inclusão social”.</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De acordo com o artigo 1º de seu Regimento Interno, compete ao Ministério tratar dos seguintes assuntos:</w:t>
      </w:r>
    </w:p>
    <w:p w:rsidR="004D4298" w:rsidRPr="00CD409D" w:rsidRDefault="004D4298"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I - política nacional de desenvolvimento do turismo;</w:t>
      </w:r>
    </w:p>
    <w:p w:rsidR="004D4298" w:rsidRPr="00CD409D" w:rsidRDefault="004D4298"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II - promoção e divulgação do turismo nacional, no País e no exterior;</w:t>
      </w:r>
    </w:p>
    <w:p w:rsidR="004D4298" w:rsidRPr="00CD409D" w:rsidRDefault="004D4298"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III - estímulo às iniciativas públicas e privadas de incentivo às atividades turísticas;</w:t>
      </w:r>
    </w:p>
    <w:p w:rsidR="004D4298" w:rsidRPr="00CD409D" w:rsidRDefault="004D4298"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IV - planejamento, coordenação, supervisão e avaliação dos planos e programas de incentivo ao turismo;</w:t>
      </w:r>
    </w:p>
    <w:p w:rsidR="004D4298" w:rsidRPr="00CD409D" w:rsidRDefault="004D4298"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V - gestão do Fundo Geral de Turismo; e</w:t>
      </w:r>
    </w:p>
    <w:p w:rsidR="004D4298" w:rsidRPr="00CD409D" w:rsidRDefault="004D4298"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VI - desenvolvimento e gestão do Sistema Brasileiro de Certificação e Classificação das atividades, empreendimentos e equipamentos dos prestadores de serviços turísticos.  (Regimento Interno do Ministério do Turismo)</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lastRenderedPageBreak/>
        <w:tab/>
        <w:t>Sua estrutura é composta de órgãos de assistência direta e imediata ao Ministério de Estado – Gabinete, Secretaria Executiva e Consultoria Jurídica -, órgãos específicos singulares – Secretaria Nacional de Políticas de Turismo e Secretaria Nacional de Programas de Desenvolvimento do Turismo -, órgão colegiado – Conselho Nacional de Turismo- e entidade vinculada - EMBRATUR. (Regimento Interno do Ministério do Turismo).</w:t>
      </w:r>
      <w:r w:rsidRPr="00FD62A0">
        <w:rPr>
          <w:rFonts w:ascii="Times-Roman" w:hAnsi="Times-Roman" w:cs="Times-Roman"/>
          <w:sz w:val="22"/>
          <w:szCs w:val="22"/>
        </w:rPr>
        <w:t xml:space="preserve"> </w:t>
      </w:r>
      <w:r w:rsidRPr="00FD62A0">
        <w:rPr>
          <w:rFonts w:ascii="Arial" w:hAnsi="Arial" w:cs="Arial"/>
          <w:sz w:val="22"/>
          <w:szCs w:val="22"/>
        </w:rPr>
        <w:t>Entre os principais setores do Ministério, estão suas assessorias, o Gabinete do Ministro, o Conselho Nacional, as Secretarias e a EMBRATUR</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Através do Plano Nacional de Turismo 2007/2010 visa destacar o turismo como mecanismo indutor do desenvolvimento e da inclusão social. Tal inclusão pode ser alcançada tanto por meio da geração de trabalho, ocupação e renda, quanto pelo lado do consumo, estimulando a atração de turistas. A exaltação do turismo nos dias de hoje ocorre de forma mais responsável, uma vez que é pautada pelo conceito de "turismo sustentável". Tal conceito, estabelecido pela Organização Mundial do Turismo se refere a </w:t>
      </w:r>
    </w:p>
    <w:p w:rsidR="004D4298" w:rsidRPr="00CD409D" w:rsidRDefault="004D4298" w:rsidP="00BF4427">
      <w:pPr>
        <w:widowControl w:val="0"/>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atividade que satisfaz as necessidades dos turistas e as necessidades socioeconômicas das regiões receptoras, enquanto a integridade cultural, a integridade dos ambientes naturais e a diversidade biológica são mantidas para o futuro. (Desafios do Turismo Sustentável)</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Por meio de constante planejamento e gestão, o Ministério busca agilizar os procedimentos e reduzir a burocracia para permitir o crescimento do turismo no país. Entretanto, conforme o conceito de turismo sustentável, as políticas desenvolvidas devem levar em consideração todas as partes envolvidas, ou seja, o turista, a comunidade e os prestadores de serviço. Com base nessa visão, o Ministério trabalha em diversos programas, direcionados à sociedade, contando para tanto, com o auxílio do setor privado. (Desafios do Turismo Sustentável)</w:t>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FD62A0" w:rsidRDefault="004D4298" w:rsidP="00BF4427">
      <w:pPr>
        <w:widowControl w:val="0"/>
        <w:tabs>
          <w:tab w:val="left" w:pos="0"/>
        </w:tabs>
        <w:autoSpaceDE w:val="0"/>
        <w:autoSpaceDN w:val="0"/>
        <w:adjustRightInd w:val="0"/>
        <w:spacing w:line="360" w:lineRule="auto"/>
        <w:jc w:val="both"/>
        <w:rPr>
          <w:rFonts w:ascii="Arial" w:hAnsi="Arial" w:cs="Arial"/>
          <w:sz w:val="22"/>
          <w:szCs w:val="22"/>
        </w:rPr>
      </w:pPr>
    </w:p>
    <w:p w:rsidR="00FB0942" w:rsidRPr="00FD62A0" w:rsidRDefault="00FB0942" w:rsidP="00BF4427">
      <w:pPr>
        <w:widowControl w:val="0"/>
        <w:tabs>
          <w:tab w:val="left" w:pos="0"/>
        </w:tabs>
        <w:autoSpaceDE w:val="0"/>
        <w:autoSpaceDN w:val="0"/>
        <w:adjustRightInd w:val="0"/>
        <w:spacing w:line="360" w:lineRule="auto"/>
        <w:jc w:val="both"/>
        <w:rPr>
          <w:rFonts w:ascii="Arial" w:hAnsi="Arial" w:cs="Arial"/>
          <w:sz w:val="22"/>
          <w:szCs w:val="22"/>
        </w:rPr>
        <w:sectPr w:rsidR="00FB0942" w:rsidRPr="00FD62A0" w:rsidSect="00366370">
          <w:footnotePr>
            <w:numRestart w:val="eachSect"/>
          </w:footnotePr>
          <w:pgSz w:w="11906" w:h="16838"/>
          <w:pgMar w:top="1474" w:right="1474" w:bottom="1474" w:left="1474" w:header="709" w:footer="709" w:gutter="0"/>
          <w:cols w:space="708"/>
          <w:docGrid w:linePitch="360"/>
        </w:sectPr>
      </w:pPr>
    </w:p>
    <w:p w:rsidR="00FB0942" w:rsidRPr="00FD62A0" w:rsidRDefault="00A1033C" w:rsidP="00CF6DF3">
      <w:pPr>
        <w:spacing w:line="360" w:lineRule="auto"/>
        <w:ind w:left="-142"/>
        <w:jc w:val="both"/>
        <w:rPr>
          <w:rFonts w:ascii="Arial" w:hAnsi="Arial" w:cs="Arial"/>
          <w:b/>
          <w:sz w:val="22"/>
          <w:szCs w:val="22"/>
        </w:rPr>
      </w:pPr>
      <w:r w:rsidRPr="00FD62A0">
        <w:rPr>
          <w:rFonts w:ascii="Arial" w:hAnsi="Arial" w:cs="Arial"/>
          <w:b/>
          <w:sz w:val="22"/>
          <w:szCs w:val="22"/>
        </w:rPr>
        <w:lastRenderedPageBreak/>
        <w:t xml:space="preserve">CAPÍTULO III </w:t>
      </w:r>
      <w:r w:rsidR="00F14B14" w:rsidRPr="00FD62A0">
        <w:rPr>
          <w:rFonts w:ascii="Arial" w:hAnsi="Arial" w:cs="Arial"/>
          <w:b/>
          <w:sz w:val="22"/>
          <w:szCs w:val="22"/>
        </w:rPr>
        <w:t>–</w:t>
      </w:r>
      <w:r w:rsidRPr="00FD62A0">
        <w:rPr>
          <w:rFonts w:ascii="Arial" w:hAnsi="Arial" w:cs="Arial"/>
          <w:b/>
          <w:sz w:val="22"/>
          <w:szCs w:val="22"/>
        </w:rPr>
        <w:t xml:space="preserve"> </w:t>
      </w:r>
      <w:r w:rsidR="00F14B14" w:rsidRPr="00FD62A0">
        <w:rPr>
          <w:rFonts w:ascii="Arial" w:hAnsi="Arial" w:cs="Arial"/>
          <w:b/>
          <w:sz w:val="22"/>
          <w:szCs w:val="22"/>
        </w:rPr>
        <w:t xml:space="preserve">VIOLÊNCIA SEXUAL </w:t>
      </w:r>
      <w:r w:rsidR="00A85E06">
        <w:rPr>
          <w:rFonts w:ascii="Arial" w:hAnsi="Arial" w:cs="Arial"/>
          <w:b/>
          <w:sz w:val="22"/>
          <w:szCs w:val="22"/>
        </w:rPr>
        <w:t>INFANTOJUVENIL</w:t>
      </w:r>
      <w:r w:rsidR="00F14B14" w:rsidRPr="00FD62A0">
        <w:rPr>
          <w:rFonts w:ascii="Arial" w:hAnsi="Arial" w:cs="Arial"/>
          <w:b/>
          <w:sz w:val="22"/>
          <w:szCs w:val="22"/>
        </w:rPr>
        <w:t>: REALIDADE E INICIATIVAS PARA MUDANÇAS</w:t>
      </w:r>
    </w:p>
    <w:p w:rsidR="00FB0942" w:rsidRPr="00FD62A0" w:rsidRDefault="00FB0942" w:rsidP="00BF4427">
      <w:pPr>
        <w:spacing w:line="360" w:lineRule="auto"/>
        <w:ind w:left="-142"/>
        <w:jc w:val="center"/>
        <w:rPr>
          <w:rFonts w:ascii="Arial" w:hAnsi="Arial" w:cs="Arial"/>
          <w:b/>
          <w:sz w:val="22"/>
          <w:szCs w:val="22"/>
        </w:rPr>
      </w:pPr>
    </w:p>
    <w:tbl>
      <w:tblPr>
        <w:tblW w:w="4434" w:type="dxa"/>
        <w:tblInd w:w="5034" w:type="dxa"/>
        <w:tblLook w:val="04A0"/>
      </w:tblPr>
      <w:tblGrid>
        <w:gridCol w:w="4434"/>
      </w:tblGrid>
      <w:tr w:rsidR="00FB0942" w:rsidRPr="00FD62A0" w:rsidTr="00FB0942">
        <w:tc>
          <w:tcPr>
            <w:tcW w:w="4434" w:type="dxa"/>
          </w:tcPr>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"É porque podemos transformar o mundo, que estamos com ele e com outros. Não teríamos ultrapassado o nível de pura adaptação ao mundo se não tivéssemos alcançado a possibilidade de, pensando a própria adaptação, nos servir dela para programar a transformação"</w:t>
            </w:r>
          </w:p>
          <w:p w:rsidR="00FB0942" w:rsidRPr="00FD62A0" w:rsidRDefault="00FB0942" w:rsidP="00BF4427">
            <w:pPr>
              <w:spacing w:line="360" w:lineRule="auto"/>
              <w:jc w:val="both"/>
              <w:rPr>
                <w:rFonts w:ascii="Arial" w:hAnsi="Arial" w:cs="Arial"/>
                <w:b/>
                <w:sz w:val="22"/>
                <w:szCs w:val="22"/>
              </w:rPr>
            </w:pPr>
            <w:r w:rsidRPr="00FD62A0">
              <w:rPr>
                <w:rFonts w:ascii="Arial" w:hAnsi="Arial" w:cs="Arial"/>
                <w:sz w:val="22"/>
                <w:szCs w:val="22"/>
              </w:rPr>
              <w:t xml:space="preserve">                  </w:t>
            </w:r>
            <w:r w:rsidR="00CD409D">
              <w:rPr>
                <w:rFonts w:ascii="Arial" w:hAnsi="Arial" w:cs="Arial"/>
                <w:sz w:val="22"/>
                <w:szCs w:val="22"/>
              </w:rPr>
              <w:t xml:space="preserve">                           </w:t>
            </w:r>
            <w:r w:rsidRPr="00FD62A0">
              <w:rPr>
                <w:rFonts w:ascii="Arial" w:hAnsi="Arial" w:cs="Arial"/>
                <w:sz w:val="22"/>
                <w:szCs w:val="22"/>
              </w:rPr>
              <w:t xml:space="preserve">   </w:t>
            </w:r>
            <w:r w:rsidRPr="00FD62A0">
              <w:rPr>
                <w:rFonts w:ascii="Arial" w:hAnsi="Arial" w:cs="Arial"/>
                <w:b/>
                <w:sz w:val="22"/>
                <w:szCs w:val="22"/>
              </w:rPr>
              <w:t>Paulo Freire</w:t>
            </w:r>
          </w:p>
        </w:tc>
      </w:tr>
    </w:tbl>
    <w:p w:rsidR="00FB0942" w:rsidRPr="00FD62A0" w:rsidRDefault="00FB0942" w:rsidP="00BF4427">
      <w:pPr>
        <w:spacing w:line="360" w:lineRule="auto"/>
        <w:jc w:val="right"/>
        <w:rPr>
          <w:rFonts w:ascii="Arial" w:hAnsi="Arial" w:cs="Arial"/>
          <w:sz w:val="22"/>
          <w:szCs w:val="22"/>
        </w:rPr>
      </w:pPr>
    </w:p>
    <w:p w:rsidR="00FB0942" w:rsidRPr="00FD62A0" w:rsidRDefault="00FB0942" w:rsidP="00BF4427">
      <w:pPr>
        <w:spacing w:line="360" w:lineRule="auto"/>
        <w:jc w:val="right"/>
        <w:rPr>
          <w:rFonts w:ascii="Arial" w:hAnsi="Arial" w:cs="Arial"/>
          <w:sz w:val="22"/>
          <w:szCs w:val="22"/>
        </w:rPr>
      </w:pP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 xml:space="preserve">A violência sexual é uma situação a qual estão sujeitas pessoas de classe social, idade, orientação diversas. A violência acontece de várias formas, sendo instituída contra pessoas que estão em algum tipo de desvantagem, seja física, emocional ou financeira. O autoritarismo e a dominação do adulto sobre a criança se instituem como fatores de vulnerabilização, já que crianças e adolescentes deixam de ser vistas como sujeitos da relação, passando a ser objetos (Leal, 1999). </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A violência pode ser intrafamiliar, extrafamiliar, ou com fins comerciais. A principal diferença entre os dois primeiros tipos é a relação que existe entre a vítima e o agressor. A forma intrafamiliar se caracteriza pelo parentesco entre vítima e agressor, ao contrário da extrafamiliar, onde não existe parentesco entre ambos. (Leal, 1999).</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No formato Intrafamiliar, crianças e jovens são violentados por pais, padrastos, tios, pessoas próximas à família. Este tipo de exploração, tão recorrente quanto a extrafamiliar, é visto com maior repugnância pela sociedade </w:t>
      </w:r>
      <w:smartTag w:uri="urn:schemas-microsoft-com:office:smarttags" w:element="PersonName">
        <w:smartTagPr>
          <w:attr w:name="ProductID" w:val="em geral. Tal"/>
        </w:smartTagPr>
        <w:r w:rsidRPr="00FD62A0">
          <w:rPr>
            <w:rFonts w:ascii="Arial" w:hAnsi="Arial" w:cs="Arial"/>
            <w:sz w:val="22"/>
            <w:szCs w:val="22"/>
          </w:rPr>
          <w:t>em geral. Tal</w:t>
        </w:r>
      </w:smartTag>
      <w:r w:rsidRPr="00FD62A0">
        <w:rPr>
          <w:rFonts w:ascii="Arial" w:hAnsi="Arial" w:cs="Arial"/>
          <w:sz w:val="22"/>
          <w:szCs w:val="22"/>
        </w:rPr>
        <w:t xml:space="preserve"> fato acontece por ser a família a instituição responsável por assegurar em primeira instância a segurança e o bem estar dos jovens. (Leal, 1999).</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Na forma extrafamiliar, a violência é praticada por pessoas externas ao convívio familiar, não sendo reconhecidas como cuidador ou responsável pela criança ou jovem. Neste tipo, pode ser praticado por alguém conhecido da vítima, o que facilita a aproximação, assim como pode ser atribuída a pessoas desconhecidas, que ataquem a vítima geralmente à base de força física ou coação por meio de armas, ou outras formas. (Leal, 1999).</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O outro formato de violência sexual é a exploração sexual comercial, que é o foco principal deste trabalho. Neste, há exploração em garimpos, fronteiras, estradas, ruas e </w:t>
      </w:r>
      <w:r w:rsidRPr="00FD62A0">
        <w:rPr>
          <w:rFonts w:ascii="Arial" w:hAnsi="Arial" w:cs="Arial"/>
          <w:sz w:val="22"/>
          <w:szCs w:val="22"/>
        </w:rPr>
        <w:lastRenderedPageBreak/>
        <w:t>prostíbulos, entre vários outros locais, além</w:t>
      </w:r>
      <w:r w:rsidR="009A6F2D">
        <w:rPr>
          <w:rFonts w:ascii="Arial" w:hAnsi="Arial" w:cs="Arial"/>
          <w:sz w:val="22"/>
          <w:szCs w:val="22"/>
        </w:rPr>
        <w:t xml:space="preserve"> </w:t>
      </w:r>
      <w:r w:rsidRPr="00FD62A0">
        <w:rPr>
          <w:rFonts w:ascii="Arial" w:hAnsi="Arial" w:cs="Arial"/>
          <w:sz w:val="22"/>
          <w:szCs w:val="22"/>
        </w:rPr>
        <w:t>da exploração da imagem dos jovens para pornografia</w:t>
      </w:r>
      <w:r w:rsidR="009A6F2D">
        <w:rPr>
          <w:rFonts w:ascii="Arial" w:hAnsi="Arial" w:cs="Arial"/>
          <w:sz w:val="22"/>
          <w:szCs w:val="22"/>
        </w:rPr>
        <w:t>.</w:t>
      </w:r>
      <w:r w:rsidRPr="00FD62A0">
        <w:rPr>
          <w:rFonts w:ascii="Arial" w:hAnsi="Arial" w:cs="Arial"/>
          <w:sz w:val="22"/>
          <w:szCs w:val="22"/>
        </w:rPr>
        <w:t xml:space="preserve"> Para tanto, os exploradores se valem várias vezes da situação precária em que vivem os jovens, e surgem com promessas de melhores condições. Depois de inseridos na rede de exploração, torna-se mais difícil para o jovem voltar a se inserir na sociedade. (Alberton, 2005)</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Segundo o CECRIA, o conceito de exploração sexual abrange o abuso sexual, a prostituição, o tráfico e venda de pessoas, o turismo sexual e a pornografia infantil, além de qualquer outra forma gerada no sentido de lucro com base na oferta de serviços sexuais. Hoje, aproximadamente dois milhões de pessoas sofrem tais abusos pelo mundo. Destes, cerca de um milhão encontra-se na América Latina. (Leal, 1999)</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Segundo o Relatório do CECRIA denominado Indicadores de violência Intrafamiliar e exploração sexual comercial de crianças e adolescentes, a exploração sexual comercial pode acontecer em quatro vertentes: Prostituição Infantil, Pornografia, Turismo Sexual e Tráfico. (Leal, 1999)</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Conforme definição do Centro de Defesa da Criança e do Adolescente da Bahia (CEDECA), por mais que a prostituição seja uma forma consentida, voluntária, por parte da pessoa que está sob a situação, esta caracteriza-se como exploração sexual comercial. Alguns segmentos da sociedade veem a prostituição como um trabalho, assim como os demais. Ao se tratar de crianças, entretanto, o </w:t>
      </w:r>
      <w:r w:rsidRPr="00FD62A0">
        <w:rPr>
          <w:rFonts w:ascii="Arial" w:hAnsi="Arial" w:cs="Arial"/>
          <w:i/>
          <w:sz w:val="22"/>
          <w:szCs w:val="22"/>
        </w:rPr>
        <w:t>Bureau Internacional Catholique de l'enfant</w:t>
      </w:r>
      <w:r w:rsidRPr="00FD62A0">
        <w:rPr>
          <w:rFonts w:ascii="Arial" w:hAnsi="Arial" w:cs="Arial"/>
          <w:sz w:val="22"/>
          <w:szCs w:val="22"/>
        </w:rPr>
        <w:t xml:space="preserve"> (BICE) considera que:</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quando se trata de crianças e adolescentes, de pessoas em processo de crescimento e desenvolvimentos, a prostituição não pode ser entendida como qualquer outro trabalho, porque implica em deteriorização física e psicológica da pessoa, afeta sua individualidade, sua satisfação sexual e sua integridade moral. (Bice, 1996)</w:t>
      </w:r>
    </w:p>
    <w:p w:rsidR="00FB0942" w:rsidRPr="00FD62A0" w:rsidRDefault="00FB0942" w:rsidP="00BF4427">
      <w:pPr>
        <w:autoSpaceDE w:val="0"/>
        <w:autoSpaceDN w:val="0"/>
        <w:adjustRightInd w:val="0"/>
        <w:spacing w:line="360" w:lineRule="auto"/>
        <w:jc w:val="both"/>
        <w:rPr>
          <w:rFonts w:ascii="Arial,Italic" w:hAnsi="Arial,Italic" w:cs="Arial,Italic"/>
          <w:iCs/>
          <w:sz w:val="22"/>
          <w:szCs w:val="22"/>
        </w:rPr>
      </w:pPr>
      <w:r w:rsidRPr="00FD62A0">
        <w:rPr>
          <w:rFonts w:ascii="Arial" w:hAnsi="Arial" w:cs="Arial"/>
          <w:sz w:val="22"/>
          <w:szCs w:val="22"/>
        </w:rPr>
        <w:tab/>
        <w:t>A pornografia infantil, caracteriza-se como conceito mais difícil de ser estabelecido, considerando-se fatores como religião, aspectos culturais, sociais, entre outros. Segundo a INTERPOL, a pornografia infantil é a “</w:t>
      </w:r>
      <w:r w:rsidRPr="00FD62A0">
        <w:rPr>
          <w:rFonts w:ascii="Arial,Italic" w:hAnsi="Arial,Italic" w:cs="Arial,Italic"/>
          <w:iCs/>
          <w:sz w:val="22"/>
          <w:szCs w:val="22"/>
        </w:rPr>
        <w:t>representação visual da exploração sexual de uma criança, concentrada na atividade sexual e nas partes genitais dessa criança”. (Cedeca, 1999). No Brasil, o tema é conceituado pelo Estatuto da Criança e do Adolescente, nos artigos 240 "produzir ou dirigir representação teatral, televisiva ou película cinematográfica utilizando-se de criança ou adolescente em cena de sexo explícito ou pornográfica" e 241 "fotografar ou publicar cena de sexo explícito ou pornográfica". No país, a penalização para esse tipo de crime é de um a quatro anos. (Cedeca, 1999)</w:t>
      </w:r>
    </w:p>
    <w:p w:rsidR="00FB0942" w:rsidRPr="00FD62A0" w:rsidRDefault="00FB0942" w:rsidP="00BF4427">
      <w:pPr>
        <w:autoSpaceDE w:val="0"/>
        <w:autoSpaceDN w:val="0"/>
        <w:adjustRightInd w:val="0"/>
        <w:spacing w:line="360" w:lineRule="auto"/>
        <w:ind w:firstLine="709"/>
        <w:jc w:val="both"/>
        <w:rPr>
          <w:rFonts w:ascii="Arial,Italic" w:hAnsi="Arial,Italic" w:cs="Arial,Italic"/>
          <w:iCs/>
          <w:sz w:val="22"/>
          <w:szCs w:val="22"/>
        </w:rPr>
      </w:pPr>
      <w:r w:rsidRPr="00FD62A0">
        <w:rPr>
          <w:rFonts w:ascii="Arial,Italic" w:hAnsi="Arial,Italic" w:cs="Arial,Italic"/>
          <w:iCs/>
          <w:sz w:val="22"/>
          <w:szCs w:val="22"/>
        </w:rPr>
        <w:t>Quanto ao turismo sexual, o CECRIA o define como</w:t>
      </w:r>
      <w:r w:rsidR="008074A3" w:rsidRPr="00FD62A0">
        <w:rPr>
          <w:rFonts w:ascii="Arial,Italic" w:hAnsi="Arial,Italic" w:cs="Arial,Italic"/>
          <w:iCs/>
          <w:sz w:val="22"/>
          <w:szCs w:val="22"/>
        </w:rPr>
        <w:t>:</w:t>
      </w:r>
    </w:p>
    <w:p w:rsidR="00FB0942" w:rsidRPr="00CD409D" w:rsidRDefault="00FB0942" w:rsidP="00BF4427">
      <w:pPr>
        <w:autoSpaceDE w:val="0"/>
        <w:autoSpaceDN w:val="0"/>
        <w:adjustRightInd w:val="0"/>
        <w:spacing w:line="360" w:lineRule="auto"/>
        <w:ind w:left="709"/>
        <w:jc w:val="both"/>
        <w:rPr>
          <w:rFonts w:ascii="Arial" w:hAnsi="Arial" w:cs="Arial"/>
          <w:iCs/>
          <w:sz w:val="20"/>
          <w:szCs w:val="20"/>
        </w:rPr>
      </w:pPr>
      <w:r w:rsidRPr="00CD409D">
        <w:rPr>
          <w:rFonts w:ascii="Arial" w:hAnsi="Arial" w:cs="Arial"/>
          <w:sz w:val="20"/>
          <w:szCs w:val="20"/>
        </w:rPr>
        <w:t xml:space="preserve">exploração de crianças e adolescentes por visitantes, em geral, procedentes de países desenvolvidos ou mesmo turistas do próprio país, envolvendo a cumplicidade, por ação direta ou omissão de agências de viagem e guias turísticos, hotéis, bares, lanchonetes, </w:t>
      </w:r>
      <w:r w:rsidRPr="00CD409D">
        <w:rPr>
          <w:rFonts w:ascii="Arial" w:hAnsi="Arial" w:cs="Arial"/>
          <w:sz w:val="20"/>
          <w:szCs w:val="20"/>
        </w:rPr>
        <w:lastRenderedPageBreak/>
        <w:t>restaurantes e barracas de praia, garçons e porteiros, postos de gasolina, caminhoneiros e taxistas, prostíbulos e casas de massagens, além da tradicional cafetinagem</w:t>
      </w:r>
      <w:r w:rsidRPr="00CD409D">
        <w:rPr>
          <w:rFonts w:ascii="Arial" w:hAnsi="Arial" w:cs="Arial"/>
          <w:iCs/>
          <w:sz w:val="20"/>
          <w:szCs w:val="20"/>
        </w:rPr>
        <w:t xml:space="preserve"> (Leal, 1999)</w:t>
      </w:r>
    </w:p>
    <w:p w:rsidR="00FB0942" w:rsidRPr="00FD62A0" w:rsidRDefault="00FB0942" w:rsidP="00BF4427">
      <w:pPr>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 xml:space="preserve">No âmbito do turismo, existe hoje uma necessidade de mudança sobre a conceituação do que deve ser tanto pelos turistas, quanto pela cidade/país anfitrião. Nesse sentido, a publicação do Ministério do Turismo “Sustentabilidade e Turismo Sustentável” </w:t>
      </w:r>
      <w:r w:rsidR="00613F28">
        <w:rPr>
          <w:rFonts w:ascii="Arial" w:hAnsi="Arial" w:cs="Arial"/>
          <w:sz w:val="22"/>
          <w:szCs w:val="22"/>
        </w:rPr>
        <w:t>informa</w:t>
      </w:r>
      <w:r w:rsidRPr="00FD62A0">
        <w:rPr>
          <w:rFonts w:ascii="Arial" w:hAnsi="Arial" w:cs="Arial"/>
          <w:sz w:val="22"/>
          <w:szCs w:val="22"/>
        </w:rPr>
        <w:t xml:space="preserve"> que hoje em dia, o turismo envolve as necessidades do turista, da comunidade e dos prestadores de serviço. Em consonância com essa nova necessidade, a Organização Mundial do Turismo (OMT) conceitua o turismo sustentável como</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aquele que atende às necessidades dos turistas de hoje e das regiões receptoras, ao mesmo tempo em que protege e amplia as oportunidades para o futuro. É visto como um condutor ao gerenciamento de todos os recursos, de tal forma que as necessidades econômicas, sociais e estéticas possam ser satisfeitas sem desprezar a manutenção da integridade cultural, dos processos ecológicos essenciais, da diversidade biológica e dos sistemas que garantem a vida. (OMT, 2005)</w:t>
      </w:r>
    </w:p>
    <w:p w:rsidR="00FB0942" w:rsidRPr="00FD62A0" w:rsidRDefault="00FB0942" w:rsidP="00BF4427">
      <w:pPr>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ab/>
        <w:t>A última forma de exploração sexual comercial é o tráfico. O Capítulo V, do Código Penal Brasileiro é destinado ao lenocínio e ao tráfico de pessoa para fim de prostituição ou outra forma de exploração sexual. O Artigo 231 do mencionado Código estabelece o tráfico como “Promover ou facilitar a entrada, no território nacional, de alguém que nele venha a exercer a prostituição ou outra forma de exploração sexual, ou a saída de alguém que vá exercê-la no estrangeiro.” A pena para este tipo de crime é de reclusão de três a oito anos.</w:t>
      </w:r>
    </w:p>
    <w:p w:rsidR="00FB0942" w:rsidRPr="00FD62A0" w:rsidRDefault="00FB0942" w:rsidP="00BF4427">
      <w:pPr>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 xml:space="preserve">A definição dos tipos de exploração sexual denota preocupação na evolução do combate ao problema. De acordo com a Secretaria Especial de Direitos Humanos (SEDH), antigamente os casos de exploração sexual eram vistos com muito mais naturalidade que hoje </w:t>
      </w:r>
      <w:smartTag w:uri="urn:schemas-microsoft-com:office:smarttags" w:element="PersonName">
        <w:smartTagPr>
          <w:attr w:name="ProductID" w:val="em dia. Nesse"/>
        </w:smartTagPr>
        <w:r w:rsidRPr="00FD62A0">
          <w:rPr>
            <w:rFonts w:ascii="Arial" w:hAnsi="Arial" w:cs="Arial"/>
            <w:sz w:val="22"/>
            <w:szCs w:val="22"/>
          </w:rPr>
          <w:t>em dia. Nesse</w:t>
        </w:r>
      </w:smartTag>
      <w:r w:rsidRPr="00FD62A0">
        <w:rPr>
          <w:rFonts w:ascii="Arial" w:hAnsi="Arial" w:cs="Arial"/>
          <w:sz w:val="22"/>
          <w:szCs w:val="22"/>
        </w:rPr>
        <w:t xml:space="preserve"> sentido a Secretaria afirma que</w:t>
      </w:r>
      <w:r w:rsidR="008074A3" w:rsidRPr="00FD62A0">
        <w:rPr>
          <w:rFonts w:ascii="Arial" w:hAnsi="Arial" w:cs="Arial"/>
          <w:sz w:val="22"/>
          <w:szCs w:val="22"/>
        </w:rPr>
        <w:t>:</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Por muito tempo, a exploração de crianças e adolescentes esteve integrada à paisagem urbana, especialmente no caso do turismo sexual nas cidades do Nordeste e Sudeste, e da comercialização da prática sexual com adolescentes, nos garimpos e nas rodovias brasileiras (U</w:t>
      </w:r>
      <w:r w:rsidR="005022C4" w:rsidRPr="00CD409D">
        <w:rPr>
          <w:rFonts w:ascii="Arial" w:hAnsi="Arial" w:cs="Arial"/>
          <w:sz w:val="20"/>
          <w:szCs w:val="20"/>
        </w:rPr>
        <w:t>NICEF</w:t>
      </w:r>
      <w:r w:rsidRPr="00CD409D">
        <w:rPr>
          <w:rFonts w:ascii="Arial" w:hAnsi="Arial" w:cs="Arial"/>
          <w:sz w:val="20"/>
          <w:szCs w:val="20"/>
        </w:rPr>
        <w:t>, 2008)</w:t>
      </w:r>
    </w:p>
    <w:p w:rsidR="00FB0942" w:rsidRPr="00FD62A0" w:rsidRDefault="00FB0942" w:rsidP="00BF4427">
      <w:pPr>
        <w:autoSpaceDE w:val="0"/>
        <w:autoSpaceDN w:val="0"/>
        <w:adjustRightInd w:val="0"/>
        <w:spacing w:line="360" w:lineRule="auto"/>
        <w:ind w:firstLine="720"/>
        <w:jc w:val="both"/>
        <w:rPr>
          <w:rFonts w:ascii="Arial" w:hAnsi="Arial" w:cs="Arial"/>
          <w:sz w:val="22"/>
          <w:szCs w:val="22"/>
        </w:rPr>
      </w:pPr>
      <w:r w:rsidRPr="00FD62A0">
        <w:rPr>
          <w:rFonts w:ascii="Arial" w:hAnsi="Arial" w:cs="Arial"/>
          <w:sz w:val="22"/>
          <w:szCs w:val="22"/>
        </w:rPr>
        <w:t>Os impactos deste tipo de violência nos jovens são diversos, ocasionando, por vezes, consequências irreparáveis. Entre os aspectos mais visíveis há os danos físicos e emocionais. Entre os físicos é possível mencionar a violência física como espancamentos e confinamento, danos para a saúde como gravidez precoce, abortos, contaminação por doenças sexualmente transmissíveis, entre outros. Os danos emocionais são decorrentes da violência em si, e de suas consequências, como estigmatização social e negação de direitos fundamentais. Entre os danos emocionais são geralmente reportados baixa auto-estima, vergonha, culpa, depressão, desesperança, entre outros. (OIT, sem ano – guia educadores)</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lastRenderedPageBreak/>
        <w:t>Existe ainda grande dificuldade em relação às denúncias, uma vez que muitas crianças guardam para si esse segredo. Tal fato ocorre por vergonha, por medo, por sentimento de culpa, entre tantos outros transtornos decorrentes da violência. Este cenário possibilita que o abusador continue tendo domínio sobre aquela criança até que ela tenha condições de expor sua situação na tentativa de cessar os abusos.</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Hoje, entretanto, está se desenvolvendo maior consciência sobre o problema, nas diversas comunidades, havendo maior espaço para iniciativas de prevenção e combate à essa questão. Para melhor entendimento são abordados nos tópicos seguintes a realidade da exploração sexual no país em geral e em Fortaleza em particular, assim como as iniciativas para mudança deste cenário.</w:t>
      </w:r>
    </w:p>
    <w:p w:rsidR="005022C4" w:rsidRPr="00FD62A0" w:rsidRDefault="005022C4"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O UNICEF lançou</w:t>
      </w:r>
      <w:r w:rsidR="00613F28">
        <w:rPr>
          <w:rFonts w:ascii="Arial" w:hAnsi="Arial" w:cs="Arial"/>
          <w:sz w:val="22"/>
          <w:szCs w:val="22"/>
        </w:rPr>
        <w:t>,</w:t>
      </w:r>
      <w:r w:rsidRPr="00FD62A0">
        <w:rPr>
          <w:rFonts w:ascii="Arial" w:hAnsi="Arial" w:cs="Arial"/>
          <w:sz w:val="22"/>
          <w:szCs w:val="22"/>
        </w:rPr>
        <w:t xml:space="preserve"> em 2009</w:t>
      </w:r>
      <w:r w:rsidR="00613F28">
        <w:rPr>
          <w:rFonts w:ascii="Arial" w:hAnsi="Arial" w:cs="Arial"/>
          <w:sz w:val="22"/>
          <w:szCs w:val="22"/>
        </w:rPr>
        <w:t>,</w:t>
      </w:r>
      <w:r w:rsidRPr="00FD62A0">
        <w:rPr>
          <w:rFonts w:ascii="Arial" w:hAnsi="Arial" w:cs="Arial"/>
          <w:sz w:val="22"/>
          <w:szCs w:val="22"/>
        </w:rPr>
        <w:t xml:space="preserve"> a publicação Situação Mundial da Infância </w:t>
      </w:r>
      <w:r w:rsidR="003522B6" w:rsidRPr="00FD62A0">
        <w:rPr>
          <w:rFonts w:ascii="Arial" w:hAnsi="Arial" w:cs="Arial"/>
          <w:sz w:val="22"/>
          <w:szCs w:val="22"/>
        </w:rPr>
        <w:t>2009 – Saúde materna e neonatal, sendo</w:t>
      </w:r>
      <w:r w:rsidR="005D4C94" w:rsidRPr="00FD62A0">
        <w:rPr>
          <w:rFonts w:ascii="Arial" w:hAnsi="Arial" w:cs="Arial"/>
          <w:sz w:val="22"/>
          <w:szCs w:val="22"/>
        </w:rPr>
        <w:t xml:space="preserve"> relacionadas questões pertinentes à saúde de mulheres e crianças</w:t>
      </w:r>
      <w:r w:rsidR="003522B6" w:rsidRPr="00FD62A0">
        <w:rPr>
          <w:rFonts w:ascii="Arial" w:hAnsi="Arial" w:cs="Arial"/>
          <w:sz w:val="22"/>
          <w:szCs w:val="22"/>
        </w:rPr>
        <w:t xml:space="preserve">. </w:t>
      </w:r>
      <w:r w:rsidR="00613F28">
        <w:rPr>
          <w:rFonts w:ascii="Arial" w:hAnsi="Arial" w:cs="Arial"/>
          <w:sz w:val="22"/>
          <w:szCs w:val="22"/>
        </w:rPr>
        <w:t>É</w:t>
      </w:r>
      <w:r w:rsidR="003522B6" w:rsidRPr="00FD62A0">
        <w:rPr>
          <w:rFonts w:ascii="Arial" w:hAnsi="Arial" w:cs="Arial"/>
          <w:sz w:val="22"/>
          <w:szCs w:val="22"/>
        </w:rPr>
        <w:t xml:space="preserve"> ressaltado que deve ser desenvolvido ambiente </w:t>
      </w:r>
      <w:r w:rsidR="00EC6AA7" w:rsidRPr="00EC6AA7">
        <w:rPr>
          <w:rFonts w:ascii="Arial" w:hAnsi="Arial" w:cs="Arial"/>
          <w:sz w:val="22"/>
          <w:szCs w:val="22"/>
        </w:rPr>
        <w:t>adequado</w:t>
      </w:r>
      <w:r w:rsidR="00E71D3C" w:rsidRPr="00EC6AA7">
        <w:rPr>
          <w:rFonts w:ascii="Arial" w:hAnsi="Arial" w:cs="Arial"/>
          <w:sz w:val="22"/>
          <w:szCs w:val="22"/>
        </w:rPr>
        <w:t xml:space="preserve"> </w:t>
      </w:r>
      <w:r w:rsidR="003522B6" w:rsidRPr="00FD62A0">
        <w:rPr>
          <w:rFonts w:ascii="Arial" w:hAnsi="Arial" w:cs="Arial"/>
          <w:sz w:val="22"/>
          <w:szCs w:val="22"/>
        </w:rPr>
        <w:t xml:space="preserve">dentro do qual mulheres </w:t>
      </w:r>
      <w:r w:rsidR="00D80C0A" w:rsidRPr="00FD62A0">
        <w:rPr>
          <w:rFonts w:ascii="Arial" w:hAnsi="Arial" w:cs="Arial"/>
          <w:sz w:val="22"/>
          <w:szCs w:val="22"/>
        </w:rPr>
        <w:t xml:space="preserve">e crianças tenham apoio em assegurar seus direitos e proteção contra quem queira </w:t>
      </w:r>
      <w:r w:rsidR="00193032" w:rsidRPr="00FD62A0">
        <w:rPr>
          <w:rFonts w:ascii="Arial" w:hAnsi="Arial" w:cs="Arial"/>
          <w:sz w:val="22"/>
          <w:szCs w:val="22"/>
        </w:rPr>
        <w:t>violar esses mesmos direitos</w:t>
      </w:r>
      <w:r w:rsidR="00E71D3C">
        <w:rPr>
          <w:rFonts w:ascii="Arial" w:hAnsi="Arial" w:cs="Arial"/>
          <w:sz w:val="22"/>
          <w:szCs w:val="22"/>
        </w:rPr>
        <w:t>,</w:t>
      </w:r>
      <w:r w:rsidR="00193032" w:rsidRPr="00FD62A0">
        <w:rPr>
          <w:rFonts w:ascii="Arial" w:hAnsi="Arial" w:cs="Arial"/>
          <w:sz w:val="22"/>
          <w:szCs w:val="22"/>
        </w:rPr>
        <w:t xml:space="preserve"> ou seja, a publicação defende que</w:t>
      </w:r>
      <w:r w:rsidR="0055272D" w:rsidRPr="00FD62A0">
        <w:rPr>
          <w:rFonts w:ascii="Arial" w:hAnsi="Arial" w:cs="Arial"/>
          <w:sz w:val="22"/>
          <w:szCs w:val="22"/>
        </w:rPr>
        <w:t>, entre os fatores que asseguram a saúde física e mental, deve-se considerar o respeito aos direitos e a proteção contra abuso e exploração.</w:t>
      </w:r>
    </w:p>
    <w:p w:rsidR="007A6739" w:rsidRPr="00FD62A0" w:rsidRDefault="007A6739" w:rsidP="00BF4427">
      <w:pPr>
        <w:autoSpaceDE w:val="0"/>
        <w:autoSpaceDN w:val="0"/>
        <w:adjustRightInd w:val="0"/>
        <w:spacing w:line="360" w:lineRule="auto"/>
        <w:jc w:val="both"/>
        <w:rPr>
          <w:rFonts w:ascii="Arial" w:hAnsi="Arial" w:cs="Arial"/>
          <w:b/>
          <w:sz w:val="22"/>
          <w:szCs w:val="22"/>
        </w:rPr>
      </w:pPr>
    </w:p>
    <w:p w:rsidR="00FB0942" w:rsidRPr="00FD62A0" w:rsidRDefault="00FB0942" w:rsidP="00BF4427">
      <w:pPr>
        <w:autoSpaceDE w:val="0"/>
        <w:autoSpaceDN w:val="0"/>
        <w:adjustRightInd w:val="0"/>
        <w:spacing w:line="360" w:lineRule="auto"/>
        <w:jc w:val="both"/>
        <w:rPr>
          <w:rFonts w:ascii="Arial" w:hAnsi="Arial" w:cs="Arial"/>
          <w:b/>
          <w:sz w:val="22"/>
          <w:szCs w:val="22"/>
        </w:rPr>
      </w:pPr>
      <w:r w:rsidRPr="00FD62A0">
        <w:rPr>
          <w:rFonts w:ascii="Arial" w:hAnsi="Arial" w:cs="Arial"/>
          <w:b/>
          <w:sz w:val="22"/>
          <w:szCs w:val="22"/>
        </w:rPr>
        <w:t xml:space="preserve">3.1. Exploração sexual </w:t>
      </w:r>
      <w:r w:rsidR="00A85E06">
        <w:rPr>
          <w:rFonts w:ascii="Arial" w:hAnsi="Arial" w:cs="Arial"/>
          <w:b/>
          <w:sz w:val="22"/>
          <w:szCs w:val="22"/>
        </w:rPr>
        <w:t>infantojuvenil</w:t>
      </w:r>
      <w:r w:rsidRPr="00FD62A0">
        <w:rPr>
          <w:rFonts w:ascii="Arial" w:hAnsi="Arial" w:cs="Arial"/>
          <w:b/>
          <w:sz w:val="22"/>
          <w:szCs w:val="22"/>
        </w:rPr>
        <w:t>: a realidade brasileira</w:t>
      </w:r>
    </w:p>
    <w:p w:rsidR="00FB0942" w:rsidRPr="00FD62A0" w:rsidRDefault="00FB0942" w:rsidP="00BF4427">
      <w:pPr>
        <w:autoSpaceDE w:val="0"/>
        <w:autoSpaceDN w:val="0"/>
        <w:adjustRightInd w:val="0"/>
        <w:spacing w:line="360" w:lineRule="auto"/>
        <w:jc w:val="both"/>
        <w:rPr>
          <w:rFonts w:ascii="Arial" w:hAnsi="Arial" w:cs="Arial"/>
          <w:sz w:val="22"/>
          <w:szCs w:val="22"/>
        </w:rPr>
      </w:pPr>
    </w:p>
    <w:p w:rsidR="00FB0942" w:rsidRPr="00FD62A0" w:rsidRDefault="00D87EF7" w:rsidP="00BF4427">
      <w:pPr>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O</w:t>
      </w:r>
      <w:r w:rsidR="00FB0942" w:rsidRPr="00FD62A0">
        <w:rPr>
          <w:rFonts w:ascii="Arial" w:hAnsi="Arial" w:cs="Arial"/>
          <w:sz w:val="22"/>
          <w:szCs w:val="22"/>
        </w:rPr>
        <w:t xml:space="preserve"> combate</w:t>
      </w:r>
      <w:r w:rsidRPr="00FD62A0">
        <w:rPr>
          <w:rFonts w:ascii="Arial" w:hAnsi="Arial" w:cs="Arial"/>
          <w:sz w:val="22"/>
          <w:szCs w:val="22"/>
        </w:rPr>
        <w:t xml:space="preserve"> à</w:t>
      </w:r>
      <w:r w:rsidR="00FB0942" w:rsidRPr="00FD62A0">
        <w:rPr>
          <w:rFonts w:ascii="Arial" w:hAnsi="Arial" w:cs="Arial"/>
          <w:sz w:val="22"/>
          <w:szCs w:val="22"/>
        </w:rPr>
        <w:t xml:space="preserve"> exploração se</w:t>
      </w:r>
      <w:r w:rsidR="00E71D3C">
        <w:rPr>
          <w:rFonts w:ascii="Arial" w:hAnsi="Arial" w:cs="Arial"/>
          <w:sz w:val="22"/>
          <w:szCs w:val="22"/>
        </w:rPr>
        <w:t xml:space="preserve">xual </w:t>
      </w:r>
      <w:r w:rsidR="00A85E06">
        <w:rPr>
          <w:rFonts w:ascii="Arial" w:hAnsi="Arial" w:cs="Arial"/>
          <w:sz w:val="22"/>
          <w:szCs w:val="22"/>
        </w:rPr>
        <w:t>infantojuvenil</w:t>
      </w:r>
      <w:r w:rsidR="00E71D3C">
        <w:rPr>
          <w:rFonts w:ascii="Arial" w:hAnsi="Arial" w:cs="Arial"/>
          <w:sz w:val="22"/>
          <w:szCs w:val="22"/>
        </w:rPr>
        <w:t xml:space="preserve"> no Brasil </w:t>
      </w:r>
      <w:r w:rsidR="00FB0942" w:rsidRPr="00FD62A0">
        <w:rPr>
          <w:rFonts w:ascii="Arial" w:hAnsi="Arial" w:cs="Arial"/>
          <w:sz w:val="22"/>
          <w:szCs w:val="22"/>
        </w:rPr>
        <w:t>gera constantemente o interesse de estudiosos que colaboram no desenvolvimento e consolidação de pesquisas acerca do tema. Neste sentido, análises vêm sendo desenvolvidas, no intuito de desenhar a situação no Brasil, para que, partindo da contextualização, seja possível elaborar políticas eficientes no combate ao problema.</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O poema abaixo, atribuído a Mariza Silveira Alberton, retrata o que se passa na mente e no coração dessas crianças e jovens, que desde tão cedo se veem obrigadas a se privar de sua infância e de todas as possíveis boas recordações provenientes dela:</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Ode a Maria:</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Lembranças de minha infância</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que eu não queria lembrar!</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Lamentos já tão distantes,</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qu’eu não posso sufocar!</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lastRenderedPageBreak/>
        <w:t>Quem disse que a meninice é tempo de se cantar?</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Correr, pular, sonhar e brincar?...</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Queria abafar as mágoas,</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esquecer o sofrimento</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de minha infância perdida</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e de todo o meu tormento.</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Mas o passado é tão vivo</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na mente e no coração,</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que o pesadelo persiste,</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matando toda a ilusão.</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Quem disse que a meninice é tempo de se cantar,</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correr, pular, sonhar e brincar,</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perdeu por certo a razão.</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ab/>
        <w:t>(Alberton, 2005)</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O poema supramencionado vem a apresentar a realidade emocional por que passam essas crianças e jovens abusados, explorados sexualmente, nas diversas formas. O que está por trás desse desencanto, é o que se busca apresentar a seguir a partir de pesquisas realizadas por órgãos governamentais e entidades privadas </w:t>
      </w:r>
      <w:r w:rsidR="008074A3" w:rsidRPr="00FD62A0">
        <w:rPr>
          <w:rFonts w:ascii="Arial" w:hAnsi="Arial" w:cs="Arial"/>
          <w:sz w:val="22"/>
          <w:szCs w:val="22"/>
        </w:rPr>
        <w:t>de credibilidade</w:t>
      </w:r>
      <w:r w:rsidRPr="00FD62A0">
        <w:rPr>
          <w:rFonts w:ascii="Arial" w:hAnsi="Arial" w:cs="Arial"/>
          <w:sz w:val="22"/>
          <w:szCs w:val="22"/>
        </w:rPr>
        <w:t xml:space="preserve">. </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Cabe mencionar, entretanto, que considerando os fatos ocorridos, e os aspectos sentimentais por que passam as vítimas, os números pesquisados são uma estimativa. Isso ocorre pelo fato de muitos não terem coragem de denunciar, ou mesmo de admitir para pessoas próximas ou para um pesquisador, o fato pelo qual passaram. Tal situação dificulta, senão</w:t>
      </w:r>
      <w:r w:rsidR="00E71D3C">
        <w:rPr>
          <w:rFonts w:ascii="Arial" w:hAnsi="Arial" w:cs="Arial"/>
          <w:sz w:val="22"/>
          <w:szCs w:val="22"/>
        </w:rPr>
        <w:t>,</w:t>
      </w:r>
      <w:r w:rsidRPr="00FD62A0">
        <w:rPr>
          <w:rFonts w:ascii="Arial" w:hAnsi="Arial" w:cs="Arial"/>
          <w:sz w:val="22"/>
          <w:szCs w:val="22"/>
        </w:rPr>
        <w:t xml:space="preserve"> impossibilita o real alcance do problema.</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De acordo com a Matriz Intersetorial de enfrentamento da exploração sexual comercial de crianças e adolescentes (ESCCA), cerca de 930 municípios brasileiros sofriam com esta realidade em 2004. Segundo a publicação, os maiores índices deste tipo de exploração ocorre</w:t>
      </w:r>
      <w:r w:rsidR="003E467C" w:rsidRPr="00FD62A0">
        <w:rPr>
          <w:rFonts w:ascii="Arial" w:hAnsi="Arial" w:cs="Arial"/>
          <w:sz w:val="22"/>
          <w:szCs w:val="22"/>
        </w:rPr>
        <w:t>m</w:t>
      </w:r>
      <w:r w:rsidRPr="00FD62A0">
        <w:rPr>
          <w:rFonts w:ascii="Arial" w:hAnsi="Arial" w:cs="Arial"/>
          <w:sz w:val="22"/>
          <w:szCs w:val="22"/>
        </w:rPr>
        <w:t xml:space="preserve"> em municípios com população média de </w:t>
      </w:r>
      <w:smartTag w:uri="urn:schemas-microsoft-com:office:smarttags" w:element="metricconverter">
        <w:smartTagPr>
          <w:attr w:name="ProductID" w:val="20.000 a"/>
        </w:smartTagPr>
        <w:r w:rsidRPr="00FD62A0">
          <w:rPr>
            <w:rFonts w:ascii="Arial" w:hAnsi="Arial" w:cs="Arial"/>
            <w:sz w:val="22"/>
            <w:szCs w:val="22"/>
          </w:rPr>
          <w:t>20.000 a</w:t>
        </w:r>
      </w:smartTag>
      <w:r w:rsidRPr="00FD62A0">
        <w:rPr>
          <w:rFonts w:ascii="Arial" w:hAnsi="Arial" w:cs="Arial"/>
          <w:sz w:val="22"/>
          <w:szCs w:val="22"/>
        </w:rPr>
        <w:t xml:space="preserve"> 100.000 habitantes, representando 48% dos municípios afetados e nos de população média de </w:t>
      </w:r>
      <w:smartTag w:uri="urn:schemas-microsoft-com:office:smarttags" w:element="metricconverter">
        <w:smartTagPr>
          <w:attr w:name="ProductID" w:val="5.000 a"/>
        </w:smartTagPr>
        <w:r w:rsidRPr="00FD62A0">
          <w:rPr>
            <w:rFonts w:ascii="Arial" w:hAnsi="Arial" w:cs="Arial"/>
            <w:sz w:val="22"/>
            <w:szCs w:val="22"/>
          </w:rPr>
          <w:t>5.000 a</w:t>
        </w:r>
      </w:smartTag>
      <w:r w:rsidRPr="00FD62A0">
        <w:rPr>
          <w:rFonts w:ascii="Arial" w:hAnsi="Arial" w:cs="Arial"/>
          <w:sz w:val="22"/>
          <w:szCs w:val="22"/>
        </w:rPr>
        <w:t xml:space="preserve"> 20.000, que representam cerca de 26% dos que sofrem com o problema.</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A distribuição dos municípios afetados por região consolida a realidade brasileira. A região nordeste é a mais afetada, com 292 municípios com ESCCA, seguida pelo </w:t>
      </w:r>
      <w:r w:rsidR="008074A3" w:rsidRPr="00FD62A0">
        <w:rPr>
          <w:rFonts w:ascii="Arial" w:hAnsi="Arial" w:cs="Arial"/>
          <w:sz w:val="22"/>
          <w:szCs w:val="22"/>
        </w:rPr>
        <w:t>S</w:t>
      </w:r>
      <w:r w:rsidRPr="00FD62A0">
        <w:rPr>
          <w:rFonts w:ascii="Arial" w:hAnsi="Arial" w:cs="Arial"/>
          <w:sz w:val="22"/>
          <w:szCs w:val="22"/>
        </w:rPr>
        <w:t xml:space="preserve">udeste com 241, </w:t>
      </w:r>
      <w:r w:rsidR="008074A3" w:rsidRPr="00FD62A0">
        <w:rPr>
          <w:rFonts w:ascii="Arial" w:hAnsi="Arial" w:cs="Arial"/>
          <w:sz w:val="22"/>
          <w:szCs w:val="22"/>
        </w:rPr>
        <w:t>S</w:t>
      </w:r>
      <w:r w:rsidRPr="00FD62A0">
        <w:rPr>
          <w:rFonts w:ascii="Arial" w:hAnsi="Arial" w:cs="Arial"/>
          <w:sz w:val="22"/>
          <w:szCs w:val="22"/>
        </w:rPr>
        <w:t xml:space="preserve">ul com 161, </w:t>
      </w:r>
      <w:r w:rsidR="008074A3" w:rsidRPr="00FD62A0">
        <w:rPr>
          <w:rFonts w:ascii="Arial" w:hAnsi="Arial" w:cs="Arial"/>
          <w:sz w:val="22"/>
          <w:szCs w:val="22"/>
        </w:rPr>
        <w:t>C</w:t>
      </w:r>
      <w:r w:rsidRPr="00FD62A0">
        <w:rPr>
          <w:rFonts w:ascii="Arial" w:hAnsi="Arial" w:cs="Arial"/>
          <w:sz w:val="22"/>
          <w:szCs w:val="22"/>
        </w:rPr>
        <w:t xml:space="preserve">entro </w:t>
      </w:r>
      <w:r w:rsidR="008074A3" w:rsidRPr="00FD62A0">
        <w:rPr>
          <w:rFonts w:ascii="Arial" w:hAnsi="Arial" w:cs="Arial"/>
          <w:sz w:val="22"/>
          <w:szCs w:val="22"/>
        </w:rPr>
        <w:t>O</w:t>
      </w:r>
      <w:r w:rsidRPr="00FD62A0">
        <w:rPr>
          <w:rFonts w:ascii="Arial" w:hAnsi="Arial" w:cs="Arial"/>
          <w:sz w:val="22"/>
          <w:szCs w:val="22"/>
        </w:rPr>
        <w:t xml:space="preserve">este com 127 e </w:t>
      </w:r>
      <w:r w:rsidR="008074A3" w:rsidRPr="00FD62A0">
        <w:rPr>
          <w:rFonts w:ascii="Arial" w:hAnsi="Arial" w:cs="Arial"/>
          <w:sz w:val="22"/>
          <w:szCs w:val="22"/>
        </w:rPr>
        <w:t>N</w:t>
      </w:r>
      <w:r w:rsidRPr="00FD62A0">
        <w:rPr>
          <w:rFonts w:ascii="Arial" w:hAnsi="Arial" w:cs="Arial"/>
          <w:sz w:val="22"/>
          <w:szCs w:val="22"/>
        </w:rPr>
        <w:t>orte com 109.</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No quesito das denúncias, desenha-se realidade diversa, uma vez que a quantidade de denúncias não corresponde à quantidade de atos que ocorrem. De acordo </w:t>
      </w:r>
      <w:r w:rsidRPr="00FD62A0">
        <w:rPr>
          <w:rFonts w:ascii="Arial" w:hAnsi="Arial" w:cs="Arial"/>
          <w:sz w:val="22"/>
          <w:szCs w:val="22"/>
        </w:rPr>
        <w:lastRenderedPageBreak/>
        <w:t xml:space="preserve">com dados coletados pelo Disque Denúncia, o </w:t>
      </w:r>
      <w:r w:rsidR="008074A3" w:rsidRPr="00FD62A0">
        <w:rPr>
          <w:rFonts w:ascii="Arial" w:hAnsi="Arial" w:cs="Arial"/>
          <w:sz w:val="22"/>
          <w:szCs w:val="22"/>
        </w:rPr>
        <w:t>S</w:t>
      </w:r>
      <w:r w:rsidRPr="00FD62A0">
        <w:rPr>
          <w:rFonts w:ascii="Arial" w:hAnsi="Arial" w:cs="Arial"/>
          <w:sz w:val="22"/>
          <w:szCs w:val="22"/>
        </w:rPr>
        <w:t xml:space="preserve">udeste concentra cerca de 51% das denúncias, seguido pelo </w:t>
      </w:r>
      <w:r w:rsidR="008074A3" w:rsidRPr="00FD62A0">
        <w:rPr>
          <w:rFonts w:ascii="Arial" w:hAnsi="Arial" w:cs="Arial"/>
          <w:sz w:val="22"/>
          <w:szCs w:val="22"/>
        </w:rPr>
        <w:t>N</w:t>
      </w:r>
      <w:r w:rsidRPr="00FD62A0">
        <w:rPr>
          <w:rFonts w:ascii="Arial" w:hAnsi="Arial" w:cs="Arial"/>
          <w:sz w:val="22"/>
          <w:szCs w:val="22"/>
        </w:rPr>
        <w:t>ordeste com cerca de 25%.</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Ainda segundo dados do Disque 100, torna-se possível desenhar o perfil das vítimas, o tipo de violência, e o perfil dos agressores, conforme </w:t>
      </w:r>
      <w:r w:rsidR="003E467C" w:rsidRPr="00FD62A0">
        <w:rPr>
          <w:rFonts w:ascii="Arial" w:hAnsi="Arial" w:cs="Arial"/>
          <w:sz w:val="22"/>
          <w:szCs w:val="22"/>
        </w:rPr>
        <w:t>os gráficos abaixo:</w:t>
      </w:r>
    </w:p>
    <w:p w:rsidR="000F07F6" w:rsidRPr="00FD62A0" w:rsidRDefault="000F07F6" w:rsidP="00BF4427">
      <w:pPr>
        <w:autoSpaceDE w:val="0"/>
        <w:autoSpaceDN w:val="0"/>
        <w:adjustRightInd w:val="0"/>
        <w:spacing w:line="360" w:lineRule="auto"/>
        <w:ind w:firstLine="708"/>
        <w:jc w:val="both"/>
        <w:rPr>
          <w:rFonts w:ascii="Arial" w:hAnsi="Arial" w:cs="Arial"/>
          <w:sz w:val="22"/>
          <w:szCs w:val="22"/>
        </w:rPr>
      </w:pPr>
    </w:p>
    <w:p w:rsidR="000F07F6" w:rsidRPr="00FD62A0" w:rsidRDefault="000F07F6" w:rsidP="00BF4427">
      <w:pPr>
        <w:autoSpaceDE w:val="0"/>
        <w:autoSpaceDN w:val="0"/>
        <w:adjustRightInd w:val="0"/>
        <w:spacing w:line="360" w:lineRule="auto"/>
        <w:jc w:val="center"/>
        <w:rPr>
          <w:rFonts w:ascii="Arial" w:hAnsi="Arial" w:cs="Arial"/>
          <w:b/>
          <w:sz w:val="22"/>
          <w:szCs w:val="22"/>
        </w:rPr>
      </w:pPr>
      <w:r w:rsidRPr="00FD62A0">
        <w:rPr>
          <w:rFonts w:ascii="Arial" w:hAnsi="Arial" w:cs="Arial"/>
          <w:b/>
          <w:sz w:val="22"/>
          <w:szCs w:val="22"/>
        </w:rPr>
        <w:t>Gráfico</w:t>
      </w:r>
      <w:r w:rsidR="00692A95" w:rsidRPr="00FD62A0">
        <w:rPr>
          <w:rFonts w:ascii="Arial" w:hAnsi="Arial" w:cs="Arial"/>
          <w:b/>
          <w:sz w:val="22"/>
          <w:szCs w:val="22"/>
        </w:rPr>
        <w:t xml:space="preserve"> </w:t>
      </w:r>
      <w:r w:rsidRPr="00FD62A0">
        <w:rPr>
          <w:rFonts w:ascii="Arial" w:hAnsi="Arial" w:cs="Arial"/>
          <w:b/>
          <w:sz w:val="22"/>
          <w:szCs w:val="22"/>
        </w:rPr>
        <w:t>3.1. Perfil das vítimas segundo as denúncias:</w:t>
      </w:r>
    </w:p>
    <w:p w:rsidR="003E467C" w:rsidRPr="00FD62A0" w:rsidRDefault="000F07F6" w:rsidP="001334D4">
      <w:pPr>
        <w:autoSpaceDE w:val="0"/>
        <w:autoSpaceDN w:val="0"/>
        <w:adjustRightInd w:val="0"/>
        <w:spacing w:line="360" w:lineRule="auto"/>
        <w:ind w:firstLine="708"/>
        <w:jc w:val="center"/>
        <w:rPr>
          <w:rFonts w:ascii="Arial" w:hAnsi="Arial" w:cs="Arial"/>
          <w:sz w:val="22"/>
          <w:szCs w:val="22"/>
        </w:rPr>
      </w:pPr>
      <w:r w:rsidRPr="00FD62A0">
        <w:rPr>
          <w:rFonts w:ascii="Arial" w:hAnsi="Arial" w:cs="Arial"/>
          <w:noProof/>
          <w:sz w:val="22"/>
          <w:szCs w:val="22"/>
          <w:lang w:val="en-US" w:eastAsia="en-US"/>
        </w:rPr>
        <w:pict>
          <v:shapetype id="_x0000_t202" coordsize="21600,21600" o:spt="202" path="m,l,21600r21600,l21600,xe">
            <v:stroke joinstyle="miter"/>
            <v:path gradientshapeok="t" o:connecttype="rect"/>
          </v:shapetype>
          <v:shape id="_x0000_s1033" type="#_x0000_t202" style="position:absolute;left:0;text-align:left;margin-left:75.2pt;margin-top:179.95pt;width:272.2pt;height:20.6pt;z-index:251651584;mso-height-percent:200;mso-height-percent:200;mso-width-relative:margin;mso-height-relative:margin" strokecolor="white">
            <v:textbox style="mso-next-textbox:#_x0000_s1033;mso-fit-shape-to-text:t">
              <w:txbxContent>
                <w:p w:rsidR="00F478F9" w:rsidRPr="008D1F36" w:rsidRDefault="00F478F9" w:rsidP="00E15B61">
                  <w:pPr>
                    <w:rPr>
                      <w:rFonts w:ascii="Arial" w:hAnsi="Arial" w:cs="Arial"/>
                      <w:sz w:val="22"/>
                      <w:szCs w:val="22"/>
                    </w:rPr>
                  </w:pPr>
                  <w:r w:rsidRPr="008D1F36">
                    <w:rPr>
                      <w:rFonts w:ascii="Arial" w:hAnsi="Arial" w:cs="Arial"/>
                      <w:sz w:val="22"/>
                      <w:szCs w:val="22"/>
                    </w:rPr>
                    <w:t>Fonte: Dados do Disque 100 2009/2010</w:t>
                  </w:r>
                </w:p>
              </w:txbxContent>
            </v:textbox>
          </v:shape>
        </w:pict>
      </w:r>
      <w:r w:rsidR="00765105">
        <w:rPr>
          <w:rFonts w:ascii="Arial" w:hAnsi="Arial" w:cs="Arial"/>
          <w:noProof/>
          <w:sz w:val="22"/>
          <w:szCs w:val="22"/>
        </w:rPr>
        <w:drawing>
          <wp:inline distT="0" distB="0" distL="0" distR="0">
            <wp:extent cx="4676775" cy="2324100"/>
            <wp:effectExtent l="0" t="0" r="0" b="0"/>
            <wp:docPr id="2" name="Objeto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3E467C" w:rsidRPr="00FD62A0" w:rsidRDefault="003E467C" w:rsidP="00BF4427">
      <w:pPr>
        <w:autoSpaceDE w:val="0"/>
        <w:autoSpaceDN w:val="0"/>
        <w:adjustRightInd w:val="0"/>
        <w:spacing w:line="360" w:lineRule="auto"/>
        <w:ind w:firstLine="708"/>
        <w:jc w:val="both"/>
        <w:rPr>
          <w:rFonts w:ascii="Arial" w:hAnsi="Arial" w:cs="Arial"/>
          <w:sz w:val="22"/>
          <w:szCs w:val="22"/>
        </w:rPr>
      </w:pPr>
    </w:p>
    <w:p w:rsidR="00F51C86" w:rsidRDefault="00F51C86" w:rsidP="00BF4427">
      <w:pPr>
        <w:autoSpaceDE w:val="0"/>
        <w:autoSpaceDN w:val="0"/>
        <w:adjustRightInd w:val="0"/>
        <w:spacing w:line="360" w:lineRule="auto"/>
        <w:ind w:firstLine="708"/>
        <w:jc w:val="both"/>
        <w:rPr>
          <w:rFonts w:ascii="Arial" w:hAnsi="Arial" w:cs="Arial"/>
          <w:sz w:val="22"/>
          <w:szCs w:val="22"/>
        </w:rPr>
      </w:pPr>
    </w:p>
    <w:p w:rsidR="00FB0942" w:rsidRDefault="000F07F6"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O gráfico acima demonstra a questão de gênero, atrelada ao problema da exploração sexual, uma vez que a maioria predominante das denúncias refere-se a meninas. Outro aspecto interessante abordado é o número de meninos explorados, em torno dos 17%. Embora bem menor que a quantidade de meninas, o número reflete o fato de a exploração sexual de meninos ser crescente em relação ao observado em pesquisas de anos anteriores</w:t>
      </w:r>
      <w:r w:rsidR="00FC2EA7" w:rsidRPr="00FD62A0">
        <w:rPr>
          <w:rFonts w:ascii="Arial" w:hAnsi="Arial" w:cs="Arial"/>
          <w:sz w:val="22"/>
          <w:szCs w:val="22"/>
        </w:rPr>
        <w:t>. Pode-se observar ainda, que há denúncias que envolvem exploração simultânea de meninos e meninas</w:t>
      </w:r>
      <w:r w:rsidR="004B7AFC" w:rsidRPr="00FD62A0">
        <w:rPr>
          <w:rFonts w:ascii="Arial" w:hAnsi="Arial" w:cs="Arial"/>
          <w:sz w:val="22"/>
          <w:szCs w:val="22"/>
        </w:rPr>
        <w:t>.</w:t>
      </w:r>
    </w:p>
    <w:p w:rsidR="00FB0942" w:rsidRPr="00FD62A0" w:rsidRDefault="00FB0942" w:rsidP="00BF4427">
      <w:pPr>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Tipo de violência:</w:t>
      </w: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- 54,55% é int</w:t>
      </w:r>
      <w:r w:rsidR="00692A95" w:rsidRPr="00FD62A0">
        <w:rPr>
          <w:rFonts w:ascii="Arial" w:hAnsi="Arial" w:cs="Arial"/>
          <w:sz w:val="22"/>
          <w:szCs w:val="22"/>
        </w:rPr>
        <w:t>rafamiliar</w:t>
      </w:r>
    </w:p>
    <w:p w:rsidR="00CD409D" w:rsidRPr="00FD62A0" w:rsidRDefault="00CD409D" w:rsidP="00BF4427">
      <w:pPr>
        <w:autoSpaceDE w:val="0"/>
        <w:autoSpaceDN w:val="0"/>
        <w:adjustRightInd w:val="0"/>
        <w:spacing w:line="360" w:lineRule="auto"/>
        <w:ind w:left="709"/>
        <w:jc w:val="both"/>
        <w:rPr>
          <w:rFonts w:ascii="Arial" w:hAnsi="Arial" w:cs="Arial"/>
          <w:sz w:val="22"/>
          <w:szCs w:val="22"/>
        </w:rPr>
      </w:pPr>
    </w:p>
    <w:p w:rsidR="00E54B1A" w:rsidRDefault="00E54B1A" w:rsidP="00BF4427">
      <w:pPr>
        <w:autoSpaceDE w:val="0"/>
        <w:autoSpaceDN w:val="0"/>
        <w:adjustRightInd w:val="0"/>
        <w:spacing w:line="360" w:lineRule="auto"/>
        <w:jc w:val="center"/>
        <w:rPr>
          <w:rFonts w:ascii="Arial" w:hAnsi="Arial" w:cs="Arial"/>
          <w:b/>
          <w:sz w:val="22"/>
          <w:szCs w:val="22"/>
        </w:rPr>
      </w:pPr>
    </w:p>
    <w:p w:rsidR="00E54B1A" w:rsidRDefault="00E54B1A" w:rsidP="00BF4427">
      <w:pPr>
        <w:autoSpaceDE w:val="0"/>
        <w:autoSpaceDN w:val="0"/>
        <w:adjustRightInd w:val="0"/>
        <w:spacing w:line="360" w:lineRule="auto"/>
        <w:jc w:val="center"/>
        <w:rPr>
          <w:rFonts w:ascii="Arial" w:hAnsi="Arial" w:cs="Arial"/>
          <w:b/>
          <w:sz w:val="22"/>
          <w:szCs w:val="22"/>
        </w:rPr>
      </w:pPr>
    </w:p>
    <w:p w:rsidR="00E54B1A" w:rsidRDefault="00E54B1A" w:rsidP="00BF4427">
      <w:pPr>
        <w:autoSpaceDE w:val="0"/>
        <w:autoSpaceDN w:val="0"/>
        <w:adjustRightInd w:val="0"/>
        <w:spacing w:line="360" w:lineRule="auto"/>
        <w:jc w:val="center"/>
        <w:rPr>
          <w:rFonts w:ascii="Arial" w:hAnsi="Arial" w:cs="Arial"/>
          <w:b/>
          <w:sz w:val="22"/>
          <w:szCs w:val="22"/>
        </w:rPr>
      </w:pPr>
    </w:p>
    <w:p w:rsidR="00E54B1A" w:rsidRDefault="00E54B1A" w:rsidP="00BF4427">
      <w:pPr>
        <w:autoSpaceDE w:val="0"/>
        <w:autoSpaceDN w:val="0"/>
        <w:adjustRightInd w:val="0"/>
        <w:spacing w:line="360" w:lineRule="auto"/>
        <w:jc w:val="center"/>
        <w:rPr>
          <w:rFonts w:ascii="Arial" w:hAnsi="Arial" w:cs="Arial"/>
          <w:b/>
          <w:sz w:val="22"/>
          <w:szCs w:val="22"/>
        </w:rPr>
      </w:pPr>
    </w:p>
    <w:p w:rsidR="00E54B1A" w:rsidRDefault="00E54B1A" w:rsidP="00BF4427">
      <w:pPr>
        <w:autoSpaceDE w:val="0"/>
        <w:autoSpaceDN w:val="0"/>
        <w:adjustRightInd w:val="0"/>
        <w:spacing w:line="360" w:lineRule="auto"/>
        <w:jc w:val="center"/>
        <w:rPr>
          <w:rFonts w:ascii="Arial" w:hAnsi="Arial" w:cs="Arial"/>
          <w:b/>
          <w:sz w:val="22"/>
          <w:szCs w:val="22"/>
        </w:rPr>
      </w:pPr>
    </w:p>
    <w:p w:rsidR="00E54B1A" w:rsidRDefault="00E54B1A" w:rsidP="00BF4427">
      <w:pPr>
        <w:autoSpaceDE w:val="0"/>
        <w:autoSpaceDN w:val="0"/>
        <w:adjustRightInd w:val="0"/>
        <w:spacing w:line="360" w:lineRule="auto"/>
        <w:jc w:val="center"/>
        <w:rPr>
          <w:rFonts w:ascii="Arial" w:hAnsi="Arial" w:cs="Arial"/>
          <w:b/>
          <w:sz w:val="22"/>
          <w:szCs w:val="22"/>
        </w:rPr>
      </w:pPr>
    </w:p>
    <w:p w:rsidR="00E54B1A" w:rsidRDefault="00E54B1A" w:rsidP="00BF4427">
      <w:pPr>
        <w:autoSpaceDE w:val="0"/>
        <w:autoSpaceDN w:val="0"/>
        <w:adjustRightInd w:val="0"/>
        <w:spacing w:line="360" w:lineRule="auto"/>
        <w:jc w:val="center"/>
        <w:rPr>
          <w:rFonts w:ascii="Arial" w:hAnsi="Arial" w:cs="Arial"/>
          <w:b/>
          <w:sz w:val="22"/>
          <w:szCs w:val="22"/>
        </w:rPr>
      </w:pPr>
    </w:p>
    <w:p w:rsidR="00E54B1A" w:rsidRDefault="00E54B1A" w:rsidP="00BF4427">
      <w:pPr>
        <w:autoSpaceDE w:val="0"/>
        <w:autoSpaceDN w:val="0"/>
        <w:adjustRightInd w:val="0"/>
        <w:spacing w:line="360" w:lineRule="auto"/>
        <w:jc w:val="center"/>
        <w:rPr>
          <w:rFonts w:ascii="Arial" w:hAnsi="Arial" w:cs="Arial"/>
          <w:b/>
          <w:sz w:val="22"/>
          <w:szCs w:val="22"/>
        </w:rPr>
      </w:pPr>
    </w:p>
    <w:p w:rsidR="00692A95" w:rsidRPr="00FD62A0" w:rsidRDefault="00692A95" w:rsidP="00BF4427">
      <w:pPr>
        <w:autoSpaceDE w:val="0"/>
        <w:autoSpaceDN w:val="0"/>
        <w:adjustRightInd w:val="0"/>
        <w:spacing w:line="360" w:lineRule="auto"/>
        <w:jc w:val="center"/>
        <w:rPr>
          <w:rFonts w:ascii="Arial" w:hAnsi="Arial" w:cs="Arial"/>
          <w:b/>
          <w:sz w:val="22"/>
          <w:szCs w:val="22"/>
        </w:rPr>
      </w:pPr>
      <w:r w:rsidRPr="00FD62A0">
        <w:rPr>
          <w:rFonts w:ascii="Arial" w:hAnsi="Arial" w:cs="Arial"/>
          <w:b/>
          <w:sz w:val="22"/>
          <w:szCs w:val="22"/>
        </w:rPr>
        <w:lastRenderedPageBreak/>
        <w:t>Gráfico 3.2. Agressor Intrafamiliar:</w:t>
      </w:r>
    </w:p>
    <w:p w:rsidR="00692A95" w:rsidRPr="00FD62A0" w:rsidRDefault="006B56F2" w:rsidP="00BF4427">
      <w:pPr>
        <w:autoSpaceDE w:val="0"/>
        <w:autoSpaceDN w:val="0"/>
        <w:adjustRightInd w:val="0"/>
        <w:spacing w:line="360" w:lineRule="auto"/>
        <w:jc w:val="center"/>
        <w:rPr>
          <w:rFonts w:ascii="Arial" w:hAnsi="Arial" w:cs="Arial"/>
          <w:sz w:val="22"/>
          <w:szCs w:val="22"/>
          <w:lang/>
        </w:rPr>
      </w:pPr>
      <w:r w:rsidRPr="00FD62A0">
        <w:rPr>
          <w:rFonts w:ascii="Arial" w:hAnsi="Arial" w:cs="Arial"/>
          <w:noProof/>
          <w:sz w:val="22"/>
          <w:szCs w:val="22"/>
        </w:rPr>
        <w:pict>
          <v:shape id="_x0000_s1034" type="#_x0000_t202" style="position:absolute;left:0;text-align:left;margin-left:102.3pt;margin-top:184.85pt;width:272.2pt;height:20.6pt;z-index:251652608;mso-height-percent:200;mso-height-percent:200;mso-width-relative:margin;mso-height-relative:margin" strokecolor="white">
            <v:textbox style="mso-next-textbox:#_x0000_s1034;mso-fit-shape-to-text:t">
              <w:txbxContent>
                <w:p w:rsidR="00F478F9" w:rsidRPr="008D1F36" w:rsidRDefault="00F478F9" w:rsidP="006B56F2">
                  <w:pPr>
                    <w:jc w:val="center"/>
                    <w:rPr>
                      <w:rFonts w:ascii="Arial" w:hAnsi="Arial" w:cs="Arial"/>
                      <w:sz w:val="22"/>
                      <w:szCs w:val="22"/>
                    </w:rPr>
                  </w:pPr>
                  <w:r w:rsidRPr="008D1F36">
                    <w:rPr>
                      <w:rFonts w:ascii="Arial" w:hAnsi="Arial" w:cs="Arial"/>
                      <w:sz w:val="22"/>
                      <w:szCs w:val="22"/>
                    </w:rPr>
                    <w:t>Fonte: Dados do Disque 100 2009/2010</w:t>
                  </w:r>
                </w:p>
              </w:txbxContent>
            </v:textbox>
          </v:shape>
        </w:pict>
      </w:r>
      <w:r w:rsidR="00765105">
        <w:rPr>
          <w:rFonts w:ascii="Arial" w:hAnsi="Arial" w:cs="Arial"/>
          <w:noProof/>
          <w:sz w:val="22"/>
          <w:szCs w:val="22"/>
        </w:rPr>
        <w:drawing>
          <wp:inline distT="0" distB="0" distL="0" distR="0">
            <wp:extent cx="4676775" cy="2324100"/>
            <wp:effectExtent l="0" t="0" r="0" b="0"/>
            <wp:docPr id="3" name="Objeto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54B1A" w:rsidRDefault="00E54B1A" w:rsidP="00BF4427">
      <w:pPr>
        <w:autoSpaceDE w:val="0"/>
        <w:autoSpaceDN w:val="0"/>
        <w:adjustRightInd w:val="0"/>
        <w:spacing w:line="360" w:lineRule="auto"/>
        <w:ind w:firstLine="708"/>
        <w:jc w:val="both"/>
        <w:rPr>
          <w:rFonts w:ascii="Arial" w:hAnsi="Arial" w:cs="Arial"/>
          <w:sz w:val="22"/>
          <w:szCs w:val="22"/>
        </w:rPr>
      </w:pPr>
    </w:p>
    <w:p w:rsidR="00E54B1A" w:rsidRDefault="00E54B1A" w:rsidP="00BF4427">
      <w:pPr>
        <w:autoSpaceDE w:val="0"/>
        <w:autoSpaceDN w:val="0"/>
        <w:adjustRightInd w:val="0"/>
        <w:spacing w:line="360" w:lineRule="auto"/>
        <w:ind w:firstLine="708"/>
        <w:jc w:val="both"/>
        <w:rPr>
          <w:rFonts w:ascii="Arial" w:hAnsi="Arial" w:cs="Arial"/>
          <w:sz w:val="22"/>
          <w:szCs w:val="22"/>
        </w:rPr>
      </w:pPr>
    </w:p>
    <w:p w:rsidR="007D3B26" w:rsidRPr="00FD62A0" w:rsidRDefault="007D3B26"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Conforme verificado no gráfico acima, no caso da Exploração intrafamiliar, o abusador é a principal figura masculina da família, sendo predominantemente o pai, seguido pelo padrasto. Uma pessoa que deveria proteger e prover as crianças e jovens acaba por se tornar uma ameaça a eles. </w:t>
      </w:r>
      <w:r w:rsidR="006B56F2" w:rsidRPr="00FD62A0">
        <w:rPr>
          <w:rFonts w:ascii="Arial" w:hAnsi="Arial" w:cs="Arial"/>
          <w:sz w:val="22"/>
          <w:szCs w:val="22"/>
        </w:rPr>
        <w:t>Na categoria “outros”, enquadram-se parentes e conhecidos como irmão, avô, avó, madrasta, tia, primo, babá, companheiro, entre outros.</w:t>
      </w:r>
    </w:p>
    <w:p w:rsidR="004E53C6" w:rsidRPr="00FD62A0" w:rsidRDefault="004E53C6" w:rsidP="00BF4427">
      <w:pPr>
        <w:autoSpaceDE w:val="0"/>
        <w:autoSpaceDN w:val="0"/>
        <w:adjustRightInd w:val="0"/>
        <w:spacing w:line="360" w:lineRule="auto"/>
        <w:ind w:left="709"/>
        <w:jc w:val="both"/>
        <w:rPr>
          <w:rFonts w:ascii="Arial" w:hAnsi="Arial" w:cs="Arial"/>
          <w:sz w:val="22"/>
          <w:szCs w:val="22"/>
        </w:rPr>
      </w:pPr>
    </w:p>
    <w:p w:rsidR="00FB0942" w:rsidRPr="00FD62A0" w:rsidRDefault="00FB0942" w:rsidP="00BF4427">
      <w:pPr>
        <w:autoSpaceDE w:val="0"/>
        <w:autoSpaceDN w:val="0"/>
        <w:adjustRightInd w:val="0"/>
        <w:spacing w:line="360" w:lineRule="auto"/>
        <w:ind w:left="709"/>
        <w:jc w:val="both"/>
        <w:rPr>
          <w:rFonts w:ascii="Arial" w:hAnsi="Arial" w:cs="Arial"/>
          <w:sz w:val="22"/>
          <w:szCs w:val="22"/>
        </w:rPr>
      </w:pPr>
      <w:r w:rsidRPr="00FD62A0">
        <w:rPr>
          <w:rFonts w:ascii="Arial" w:hAnsi="Arial" w:cs="Arial"/>
          <w:sz w:val="22"/>
          <w:szCs w:val="22"/>
        </w:rPr>
        <w:t>- 45,45% é ext</w:t>
      </w:r>
      <w:r w:rsidR="006B56F2" w:rsidRPr="00FD62A0">
        <w:rPr>
          <w:rFonts w:ascii="Arial" w:hAnsi="Arial" w:cs="Arial"/>
          <w:sz w:val="22"/>
          <w:szCs w:val="22"/>
        </w:rPr>
        <w:t>rafamiliar, distri</w:t>
      </w:r>
      <w:r w:rsidR="00A73125" w:rsidRPr="00FD62A0">
        <w:rPr>
          <w:rFonts w:ascii="Arial" w:hAnsi="Arial" w:cs="Arial"/>
          <w:sz w:val="22"/>
          <w:szCs w:val="22"/>
        </w:rPr>
        <w:t>b</w:t>
      </w:r>
      <w:r w:rsidR="006B56F2" w:rsidRPr="00FD62A0">
        <w:rPr>
          <w:rFonts w:ascii="Arial" w:hAnsi="Arial" w:cs="Arial"/>
          <w:sz w:val="22"/>
          <w:szCs w:val="22"/>
        </w:rPr>
        <w:t>uídos da seguinte maneira:</w:t>
      </w:r>
    </w:p>
    <w:p w:rsidR="00E8280D" w:rsidRPr="00FD62A0" w:rsidRDefault="00E8280D" w:rsidP="00BF4427">
      <w:pPr>
        <w:autoSpaceDE w:val="0"/>
        <w:autoSpaceDN w:val="0"/>
        <w:adjustRightInd w:val="0"/>
        <w:spacing w:line="360" w:lineRule="auto"/>
        <w:ind w:left="709"/>
        <w:jc w:val="both"/>
        <w:rPr>
          <w:rFonts w:ascii="Arial" w:hAnsi="Arial" w:cs="Arial"/>
          <w:sz w:val="22"/>
          <w:szCs w:val="22"/>
        </w:rPr>
      </w:pPr>
    </w:p>
    <w:p w:rsidR="00A73125" w:rsidRPr="00FD62A0" w:rsidRDefault="00A73125" w:rsidP="00BF4427">
      <w:pPr>
        <w:autoSpaceDE w:val="0"/>
        <w:autoSpaceDN w:val="0"/>
        <w:adjustRightInd w:val="0"/>
        <w:spacing w:line="360" w:lineRule="auto"/>
        <w:jc w:val="center"/>
        <w:rPr>
          <w:rFonts w:ascii="Arial" w:hAnsi="Arial" w:cs="Arial"/>
          <w:b/>
          <w:sz w:val="22"/>
          <w:szCs w:val="22"/>
        </w:rPr>
      </w:pPr>
      <w:r w:rsidRPr="00FD62A0">
        <w:rPr>
          <w:rFonts w:ascii="Arial" w:hAnsi="Arial" w:cs="Arial"/>
          <w:b/>
          <w:sz w:val="22"/>
          <w:szCs w:val="22"/>
        </w:rPr>
        <w:t xml:space="preserve">Gráfico 3.3. Agressor </w:t>
      </w:r>
      <w:r w:rsidR="00F46B73" w:rsidRPr="00FD62A0">
        <w:rPr>
          <w:rFonts w:ascii="Arial" w:hAnsi="Arial" w:cs="Arial"/>
          <w:b/>
          <w:sz w:val="22"/>
          <w:szCs w:val="22"/>
        </w:rPr>
        <w:t>Extrafamiliar</w:t>
      </w:r>
      <w:r w:rsidRPr="00FD62A0">
        <w:rPr>
          <w:rFonts w:ascii="Arial" w:hAnsi="Arial" w:cs="Arial"/>
          <w:b/>
          <w:sz w:val="22"/>
          <w:szCs w:val="22"/>
        </w:rPr>
        <w:t>:</w:t>
      </w:r>
    </w:p>
    <w:p w:rsidR="006B56F2" w:rsidRPr="00FD62A0" w:rsidRDefault="00452784" w:rsidP="00BF4427">
      <w:pPr>
        <w:autoSpaceDE w:val="0"/>
        <w:autoSpaceDN w:val="0"/>
        <w:adjustRightInd w:val="0"/>
        <w:spacing w:line="360" w:lineRule="auto"/>
        <w:ind w:left="709"/>
        <w:jc w:val="center"/>
        <w:rPr>
          <w:rFonts w:ascii="Arial" w:hAnsi="Arial" w:cs="Arial"/>
          <w:sz w:val="22"/>
          <w:szCs w:val="22"/>
          <w:lang/>
        </w:rPr>
      </w:pPr>
      <w:r w:rsidRPr="00FD62A0">
        <w:rPr>
          <w:rFonts w:ascii="Arial" w:hAnsi="Arial" w:cs="Arial"/>
          <w:noProof/>
          <w:sz w:val="22"/>
          <w:szCs w:val="22"/>
        </w:rPr>
        <w:pict>
          <v:shape id="_x0000_s1122" type="#_x0000_t202" style="position:absolute;left:0;text-align:left;margin-left:93pt;margin-top:179.65pt;width:272.2pt;height:20.6pt;z-index:251660800;mso-height-percent:200;mso-height-percent:200;mso-width-relative:margin;mso-height-relative:margin" strokecolor="white">
            <v:textbox style="mso-next-textbox:#_x0000_s1122;mso-fit-shape-to-text:t">
              <w:txbxContent>
                <w:p w:rsidR="00F478F9" w:rsidRPr="008D1F36" w:rsidRDefault="00F478F9" w:rsidP="00452784">
                  <w:pPr>
                    <w:rPr>
                      <w:rFonts w:ascii="Arial" w:hAnsi="Arial" w:cs="Arial"/>
                      <w:sz w:val="22"/>
                      <w:szCs w:val="22"/>
                    </w:rPr>
                  </w:pPr>
                  <w:r>
                    <w:rPr>
                      <w:rFonts w:ascii="Arial" w:hAnsi="Arial" w:cs="Arial"/>
                      <w:sz w:val="22"/>
                      <w:szCs w:val="22"/>
                    </w:rPr>
                    <w:t xml:space="preserve">  </w:t>
                  </w:r>
                  <w:r w:rsidRPr="008D1F36">
                    <w:rPr>
                      <w:rFonts w:ascii="Arial" w:hAnsi="Arial" w:cs="Arial"/>
                      <w:sz w:val="22"/>
                      <w:szCs w:val="22"/>
                    </w:rPr>
                    <w:t>Fonte: Dados do Disque 100 2009/2010</w:t>
                  </w:r>
                </w:p>
              </w:txbxContent>
            </v:textbox>
          </v:shape>
        </w:pict>
      </w:r>
      <w:r w:rsidR="00765105">
        <w:rPr>
          <w:rFonts w:ascii="Arial" w:hAnsi="Arial" w:cs="Arial"/>
          <w:noProof/>
          <w:sz w:val="22"/>
          <w:szCs w:val="22"/>
        </w:rPr>
        <w:drawing>
          <wp:inline distT="0" distB="0" distL="0" distR="0">
            <wp:extent cx="4676775" cy="2324100"/>
            <wp:effectExtent l="0" t="0" r="0" b="0"/>
            <wp:docPr id="4" name="Objeto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ED49E1" w:rsidRPr="00FD62A0" w:rsidRDefault="00ED49E1" w:rsidP="00BF4427">
      <w:pPr>
        <w:autoSpaceDE w:val="0"/>
        <w:autoSpaceDN w:val="0"/>
        <w:adjustRightInd w:val="0"/>
        <w:spacing w:line="360" w:lineRule="auto"/>
        <w:ind w:left="709"/>
        <w:jc w:val="center"/>
        <w:rPr>
          <w:rFonts w:ascii="Arial" w:hAnsi="Arial" w:cs="Arial"/>
          <w:sz w:val="22"/>
          <w:szCs w:val="22"/>
        </w:rPr>
      </w:pPr>
    </w:p>
    <w:p w:rsidR="00C90C33" w:rsidRDefault="00C90C33" w:rsidP="00BF4427">
      <w:pPr>
        <w:autoSpaceDE w:val="0"/>
        <w:autoSpaceDN w:val="0"/>
        <w:adjustRightInd w:val="0"/>
        <w:spacing w:line="360" w:lineRule="auto"/>
        <w:ind w:firstLine="708"/>
        <w:jc w:val="both"/>
        <w:rPr>
          <w:rFonts w:ascii="Arial" w:hAnsi="Arial" w:cs="Arial"/>
          <w:sz w:val="22"/>
          <w:szCs w:val="22"/>
        </w:rPr>
      </w:pPr>
    </w:p>
    <w:p w:rsidR="00A73125" w:rsidRPr="00FD62A0" w:rsidRDefault="00A73125"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No caso extrafamiliar, predominam os aliciadores, seguidos por vizinhos e líderes religiosos, que de certa forma tem a confiança da criança ou jovem explorado. Demais </w:t>
      </w:r>
      <w:r w:rsidRPr="00FD62A0">
        <w:rPr>
          <w:rFonts w:ascii="Arial" w:hAnsi="Arial" w:cs="Arial"/>
          <w:sz w:val="22"/>
          <w:szCs w:val="22"/>
        </w:rPr>
        <w:lastRenderedPageBreak/>
        <w:t>casos envolvem motoristas de transporte, funcionários de escolas, diretores/funcionários de abrigo, entre outros.</w:t>
      </w:r>
    </w:p>
    <w:p w:rsidR="004E53C6" w:rsidRPr="00FD62A0" w:rsidRDefault="004E53C6" w:rsidP="00BF4427">
      <w:pPr>
        <w:spacing w:line="360" w:lineRule="auto"/>
        <w:ind w:left="851"/>
        <w:jc w:val="both"/>
        <w:rPr>
          <w:rFonts w:ascii="Arial" w:hAnsi="Arial" w:cs="Arial"/>
          <w:sz w:val="22"/>
          <w:szCs w:val="22"/>
        </w:rPr>
      </w:pPr>
    </w:p>
    <w:p w:rsidR="00FB0942" w:rsidRPr="00FD62A0" w:rsidRDefault="00FB0942" w:rsidP="00BF4427">
      <w:pPr>
        <w:spacing w:line="360" w:lineRule="auto"/>
        <w:ind w:left="851"/>
        <w:jc w:val="both"/>
        <w:rPr>
          <w:rFonts w:ascii="Arial" w:hAnsi="Arial" w:cs="Arial"/>
          <w:sz w:val="22"/>
          <w:szCs w:val="22"/>
        </w:rPr>
      </w:pPr>
      <w:r w:rsidRPr="00FD62A0">
        <w:rPr>
          <w:rFonts w:ascii="Arial" w:hAnsi="Arial" w:cs="Arial"/>
          <w:sz w:val="22"/>
          <w:szCs w:val="22"/>
        </w:rPr>
        <w:t>- Perfil do abusador:</w:t>
      </w:r>
    </w:p>
    <w:p w:rsidR="0087604F" w:rsidRPr="00FD62A0" w:rsidRDefault="0087604F" w:rsidP="00BF4427">
      <w:pPr>
        <w:spacing w:line="360" w:lineRule="auto"/>
        <w:ind w:left="851"/>
        <w:jc w:val="both"/>
        <w:rPr>
          <w:rFonts w:ascii="Arial" w:hAnsi="Arial" w:cs="Arial"/>
          <w:sz w:val="22"/>
          <w:szCs w:val="22"/>
        </w:rPr>
      </w:pPr>
    </w:p>
    <w:p w:rsidR="00F46B73" w:rsidRPr="00FD62A0" w:rsidRDefault="00F46B73" w:rsidP="00BF4427">
      <w:pPr>
        <w:autoSpaceDE w:val="0"/>
        <w:autoSpaceDN w:val="0"/>
        <w:adjustRightInd w:val="0"/>
        <w:spacing w:line="360" w:lineRule="auto"/>
        <w:jc w:val="center"/>
        <w:rPr>
          <w:rFonts w:ascii="Arial" w:hAnsi="Arial" w:cs="Arial"/>
          <w:b/>
          <w:sz w:val="22"/>
          <w:szCs w:val="22"/>
        </w:rPr>
      </w:pPr>
      <w:r w:rsidRPr="00FD62A0">
        <w:rPr>
          <w:rFonts w:ascii="Arial" w:hAnsi="Arial" w:cs="Arial"/>
          <w:b/>
          <w:sz w:val="22"/>
          <w:szCs w:val="22"/>
        </w:rPr>
        <w:t>Gráfico 3.4. Agressor Intrafamiliar:</w:t>
      </w:r>
    </w:p>
    <w:p w:rsidR="00F46B73" w:rsidRPr="00FD62A0" w:rsidRDefault="00CD409D" w:rsidP="005821A1">
      <w:pPr>
        <w:spacing w:line="360" w:lineRule="auto"/>
        <w:jc w:val="center"/>
        <w:rPr>
          <w:rFonts w:ascii="Arial" w:hAnsi="Arial" w:cs="Arial"/>
          <w:sz w:val="22"/>
          <w:szCs w:val="22"/>
        </w:rPr>
      </w:pPr>
      <w:r w:rsidRPr="00FD62A0">
        <w:rPr>
          <w:rFonts w:ascii="Arial" w:hAnsi="Arial" w:cs="Arial"/>
          <w:b/>
          <w:noProof/>
          <w:sz w:val="22"/>
          <w:szCs w:val="22"/>
        </w:rPr>
        <w:pict>
          <v:shape id="_x0000_s1121" type="#_x0000_t202" style="position:absolute;left:0;text-align:left;margin-left:58.4pt;margin-top:181.45pt;width:293.2pt;height:20.6pt;z-index:251659776;mso-height-percent:200;mso-height-percent:200;mso-width-relative:margin;mso-height-relative:margin" strokecolor="white">
            <v:textbox style="mso-next-textbox:#_x0000_s1121;mso-fit-shape-to-text:t">
              <w:txbxContent>
                <w:p w:rsidR="00F478F9" w:rsidRPr="00CD409D" w:rsidRDefault="00F478F9" w:rsidP="00452784">
                  <w:pPr>
                    <w:ind w:left="708"/>
                    <w:rPr>
                      <w:rFonts w:ascii="Arial" w:hAnsi="Arial" w:cs="Arial"/>
                      <w:sz w:val="22"/>
                      <w:szCs w:val="22"/>
                    </w:rPr>
                  </w:pPr>
                  <w:r>
                    <w:rPr>
                      <w:rFonts w:ascii="Arial" w:hAnsi="Arial" w:cs="Arial"/>
                      <w:sz w:val="22"/>
                      <w:szCs w:val="22"/>
                    </w:rPr>
                    <w:t xml:space="preserve">        </w:t>
                  </w:r>
                  <w:r w:rsidRPr="00CD409D">
                    <w:rPr>
                      <w:rFonts w:ascii="Arial" w:hAnsi="Arial" w:cs="Arial"/>
                      <w:sz w:val="22"/>
                      <w:szCs w:val="22"/>
                    </w:rPr>
                    <w:t>Fonte: Dados do Disque 100 2009/2010</w:t>
                  </w:r>
                </w:p>
              </w:txbxContent>
            </v:textbox>
          </v:shape>
        </w:pict>
      </w:r>
      <w:r w:rsidR="00765105">
        <w:rPr>
          <w:rFonts w:ascii="Arial" w:hAnsi="Arial" w:cs="Arial"/>
          <w:noProof/>
          <w:sz w:val="22"/>
          <w:szCs w:val="22"/>
        </w:rPr>
        <w:drawing>
          <wp:inline distT="0" distB="0" distL="0" distR="0">
            <wp:extent cx="4676775" cy="2324100"/>
            <wp:effectExtent l="0" t="0" r="0" b="0"/>
            <wp:docPr id="5" name="Objeto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54B1A" w:rsidRDefault="00E54B1A" w:rsidP="00BF4427">
      <w:pPr>
        <w:spacing w:line="360" w:lineRule="auto"/>
        <w:ind w:firstLine="708"/>
        <w:jc w:val="both"/>
        <w:rPr>
          <w:rFonts w:ascii="Arial" w:hAnsi="Arial" w:cs="Arial"/>
          <w:sz w:val="22"/>
          <w:szCs w:val="22"/>
        </w:rPr>
      </w:pPr>
    </w:p>
    <w:p w:rsidR="00E54B1A" w:rsidRDefault="00E54B1A" w:rsidP="00BF4427">
      <w:pPr>
        <w:spacing w:line="360" w:lineRule="auto"/>
        <w:ind w:firstLine="708"/>
        <w:jc w:val="both"/>
        <w:rPr>
          <w:rFonts w:ascii="Arial" w:hAnsi="Arial" w:cs="Arial"/>
          <w:sz w:val="22"/>
          <w:szCs w:val="22"/>
        </w:rPr>
      </w:pPr>
    </w:p>
    <w:p w:rsidR="00FB0942" w:rsidRPr="00FD62A0" w:rsidRDefault="00F46B73" w:rsidP="00BF4427">
      <w:pPr>
        <w:spacing w:line="360" w:lineRule="auto"/>
        <w:ind w:firstLine="708"/>
        <w:jc w:val="both"/>
        <w:rPr>
          <w:rFonts w:ascii="Arial" w:hAnsi="Arial" w:cs="Arial"/>
          <w:sz w:val="22"/>
          <w:szCs w:val="22"/>
        </w:rPr>
      </w:pPr>
      <w:r w:rsidRPr="00FD62A0">
        <w:rPr>
          <w:rFonts w:ascii="Arial" w:hAnsi="Arial" w:cs="Arial"/>
          <w:sz w:val="22"/>
          <w:szCs w:val="22"/>
        </w:rPr>
        <w:t>O abusador, de acordo com os dados expostos no gráfico, é predominantemente homem. Há denúncias em que são delatados abusadores homens e mulheres em uma mesma situação.</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 xml:space="preserve">Entre os estudos acerca da exploração sexual </w:t>
      </w:r>
      <w:r w:rsidR="00A85E06">
        <w:rPr>
          <w:rFonts w:ascii="Arial" w:hAnsi="Arial" w:cs="Arial"/>
          <w:sz w:val="22"/>
          <w:szCs w:val="22"/>
        </w:rPr>
        <w:t>infantojuvenil</w:t>
      </w:r>
      <w:r w:rsidRPr="00FD62A0">
        <w:rPr>
          <w:rFonts w:ascii="Arial" w:hAnsi="Arial" w:cs="Arial"/>
          <w:sz w:val="22"/>
          <w:szCs w:val="22"/>
        </w:rPr>
        <w:t xml:space="preserve">, destaca-se predominantemente como fator de vulnerabilidade a qualidade de vida, o desenvolvimento humano da sociedade em que estão inseridos os jovens. Considerando-se esses fatores, convém apresentar os dados do Estado do Ceará de maneira geral e da cidade de Fortaleza-CE de maneira detalhada, sendo que esta é a cidade destacada para estudo dos Projetos </w:t>
      </w:r>
      <w:r w:rsidR="00C02187" w:rsidRPr="00FD62A0">
        <w:rPr>
          <w:rFonts w:ascii="Arial" w:hAnsi="Arial" w:cs="Arial"/>
          <w:sz w:val="22"/>
          <w:szCs w:val="22"/>
        </w:rPr>
        <w:t>ViraVida</w:t>
      </w:r>
      <w:r w:rsidRPr="00FD62A0">
        <w:rPr>
          <w:rFonts w:ascii="Arial" w:hAnsi="Arial" w:cs="Arial"/>
          <w:sz w:val="22"/>
          <w:szCs w:val="22"/>
        </w:rPr>
        <w:t xml:space="preserve"> e Turismo Sustentável e Infância. Conhecer a realidade do local é indispensável para perceber-se a importância dos resultados alcançados pelos Projetos.</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 xml:space="preserve">O Estado do Ceará, em 2007 concentrava percentuais extremamente preocupantes quando o assunto era a renda das famílias. No estado, o percentual de famílias com crianças de </w:t>
      </w:r>
      <w:smartTag w:uri="urn:schemas-microsoft-com:office:smarttags" w:element="metricconverter">
        <w:smartTagPr>
          <w:attr w:name="ProductID" w:val="0 a"/>
        </w:smartTagPr>
        <w:r w:rsidRPr="00FD62A0">
          <w:rPr>
            <w:rFonts w:ascii="Arial" w:hAnsi="Arial" w:cs="Arial"/>
            <w:sz w:val="22"/>
            <w:szCs w:val="22"/>
          </w:rPr>
          <w:t>0 a</w:t>
        </w:r>
      </w:smartTag>
      <w:r w:rsidRPr="00FD62A0">
        <w:rPr>
          <w:rFonts w:ascii="Arial" w:hAnsi="Arial" w:cs="Arial"/>
          <w:sz w:val="22"/>
          <w:szCs w:val="22"/>
        </w:rPr>
        <w:t xml:space="preserve"> 14 anos, com rendimento médio mensal de até meio salário mínimo era de 64%, ao passo que as famílias com crianças de </w:t>
      </w:r>
      <w:smartTag w:uri="urn:schemas-microsoft-com:office:smarttags" w:element="metricconverter">
        <w:smartTagPr>
          <w:attr w:name="ProductID" w:val="0 a"/>
        </w:smartTagPr>
        <w:r w:rsidRPr="00FD62A0">
          <w:rPr>
            <w:rFonts w:ascii="Arial" w:hAnsi="Arial" w:cs="Arial"/>
            <w:sz w:val="22"/>
            <w:szCs w:val="22"/>
          </w:rPr>
          <w:t>0 a</w:t>
        </w:r>
      </w:smartTag>
      <w:r w:rsidRPr="00FD62A0">
        <w:rPr>
          <w:rFonts w:ascii="Arial" w:hAnsi="Arial" w:cs="Arial"/>
          <w:sz w:val="22"/>
          <w:szCs w:val="22"/>
        </w:rPr>
        <w:t xml:space="preserve"> 6 anos submetidas ao mesmo rendimento, somavam 68%. Ou seja, comparando-se à média nacional, que era de cerca de 40%, o Estado do Ceará concentrava altíssimos níveis de pobreza. (IBGE, 2007) Como consequência desta realidade, o </w:t>
      </w:r>
      <w:r w:rsidR="008074A3" w:rsidRPr="00FD62A0">
        <w:rPr>
          <w:rFonts w:ascii="Arial" w:hAnsi="Arial" w:cs="Arial"/>
          <w:sz w:val="22"/>
          <w:szCs w:val="22"/>
        </w:rPr>
        <w:t xml:space="preserve">Instituto Brasileiro de Geografia e Estatísticas - </w:t>
      </w:r>
      <w:r w:rsidRPr="00FD62A0">
        <w:rPr>
          <w:rFonts w:ascii="Arial" w:hAnsi="Arial" w:cs="Arial"/>
          <w:sz w:val="22"/>
          <w:szCs w:val="22"/>
        </w:rPr>
        <w:t xml:space="preserve">IBGE </w:t>
      </w:r>
      <w:r w:rsidRPr="00FD62A0">
        <w:rPr>
          <w:rFonts w:ascii="Arial" w:hAnsi="Arial" w:cs="Arial"/>
          <w:sz w:val="22"/>
          <w:szCs w:val="22"/>
        </w:rPr>
        <w:lastRenderedPageBreak/>
        <w:t xml:space="preserve">destaca a dificuldade de acesso à educação nos primeiros anos de vida, assim como o ingresso precoce no mercado de trabalho, muitas vezes em detrimento dos estudos. </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 xml:space="preserve">De acordo com o </w:t>
      </w:r>
      <w:r w:rsidR="008074A3" w:rsidRPr="00FD62A0">
        <w:rPr>
          <w:rFonts w:ascii="Arial" w:hAnsi="Arial" w:cs="Arial"/>
          <w:sz w:val="22"/>
          <w:szCs w:val="22"/>
        </w:rPr>
        <w:t>IBGE</w:t>
      </w:r>
      <w:r w:rsidRPr="00FD62A0">
        <w:rPr>
          <w:rFonts w:ascii="Arial" w:hAnsi="Arial" w:cs="Arial"/>
          <w:sz w:val="22"/>
          <w:szCs w:val="22"/>
        </w:rPr>
        <w:t xml:space="preserve">, em Fortaleza especificamente, 43% da população em 2003 estava em situação de pobreza, sendo o Coeficiente de </w:t>
      </w:r>
      <w:r w:rsidR="008074A3" w:rsidRPr="00FD62A0">
        <w:rPr>
          <w:rFonts w:ascii="Arial" w:hAnsi="Arial" w:cs="Arial"/>
          <w:sz w:val="22"/>
          <w:szCs w:val="22"/>
        </w:rPr>
        <w:t>G</w:t>
      </w:r>
      <w:r w:rsidRPr="00FD62A0">
        <w:rPr>
          <w:rFonts w:ascii="Arial" w:hAnsi="Arial" w:cs="Arial"/>
          <w:sz w:val="22"/>
          <w:szCs w:val="22"/>
        </w:rPr>
        <w:t>ini</w:t>
      </w:r>
      <w:r w:rsidRPr="00FD62A0">
        <w:rPr>
          <w:rStyle w:val="Refdenotaderodap"/>
          <w:rFonts w:ascii="Arial" w:hAnsi="Arial" w:cs="Arial"/>
          <w:sz w:val="22"/>
          <w:szCs w:val="22"/>
        </w:rPr>
        <w:footnoteReference w:id="6"/>
      </w:r>
      <w:r w:rsidRPr="00FD62A0">
        <w:rPr>
          <w:rFonts w:ascii="Arial" w:hAnsi="Arial" w:cs="Arial"/>
          <w:sz w:val="22"/>
          <w:szCs w:val="22"/>
        </w:rPr>
        <w:t xml:space="preserve"> 0,51. Isso significa dizer que além de grande parte da população ter baixo padrão de vida, existe grande desigualdade na distribuição de renda. </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Pesquisas feitas no Estado do Ceará desenham o quadro da situação social de Fortaleza, apresentando dados relativos aos números da exploração sexual, assim como aqueles relacionados ao mundo laboral.</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O estudo da Fundação da Criança e da Família Cidadã, da Prefeitura Municipal de Fortaleza, realizado no ano de 2007, indica que, entre as crianças que sofrem com a exploração sexual, </w:t>
      </w:r>
      <w:r w:rsidRPr="00EC6AA7">
        <w:rPr>
          <w:rFonts w:ascii="Arial" w:hAnsi="Arial" w:cs="Arial"/>
          <w:sz w:val="22"/>
          <w:szCs w:val="22"/>
        </w:rPr>
        <w:t>56% presenciaram violência dentro de casa e 65% afirmam ter sido a vítima da agressão.</w:t>
      </w:r>
      <w:r w:rsidRPr="00FD62A0">
        <w:rPr>
          <w:rFonts w:ascii="Arial" w:hAnsi="Arial" w:cs="Arial"/>
          <w:sz w:val="22"/>
          <w:szCs w:val="22"/>
        </w:rPr>
        <w:t xml:space="preserve"> Além disso, a pesquisa verificou que entre esses mesmos jovens, cerca de 68% são do sexo feminino, caracterizando-se violência de gênero. </w:t>
      </w:r>
      <w:r w:rsidR="003824C6">
        <w:rPr>
          <w:rFonts w:ascii="Arial" w:hAnsi="Arial" w:cs="Arial"/>
          <w:sz w:val="22"/>
          <w:szCs w:val="22"/>
        </w:rPr>
        <w:t>(Diógenes, 2010)</w:t>
      </w:r>
    </w:p>
    <w:p w:rsidR="008074A3"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O Mapa da Mulher e Mercado de Trabalho Cearense, de 2008 dimensiona a inserção da mulher no mercado de trabalho no </w:t>
      </w:r>
      <w:r w:rsidR="008074A3" w:rsidRPr="00FD62A0">
        <w:rPr>
          <w:rFonts w:ascii="Arial" w:hAnsi="Arial" w:cs="Arial"/>
          <w:sz w:val="22"/>
          <w:szCs w:val="22"/>
        </w:rPr>
        <w:t>e</w:t>
      </w:r>
      <w:r w:rsidRPr="00FD62A0">
        <w:rPr>
          <w:rFonts w:ascii="Arial" w:hAnsi="Arial" w:cs="Arial"/>
          <w:sz w:val="22"/>
          <w:szCs w:val="22"/>
        </w:rPr>
        <w:t>stado. De acordo com o estudo, as mulheres integram 42% da população economicamente ativa, e entre os desempregados elas somam 51%. A questão da remuneração também tem destaque na pesquisa: Em 2006, aproximadamente 68% das mulheres não ganhava mais de um salário mínimo; e</w:t>
      </w:r>
      <w:r w:rsidR="004250AF">
        <w:rPr>
          <w:rFonts w:ascii="Arial" w:hAnsi="Arial" w:cs="Arial"/>
          <w:sz w:val="22"/>
          <w:szCs w:val="22"/>
        </w:rPr>
        <w:t>,</w:t>
      </w:r>
      <w:r w:rsidRPr="00FD62A0">
        <w:rPr>
          <w:rFonts w:ascii="Arial" w:hAnsi="Arial" w:cs="Arial"/>
          <w:sz w:val="22"/>
          <w:szCs w:val="22"/>
        </w:rPr>
        <w:t xml:space="preserve"> além disso, ganham menos que os homens exercendo as mesmas funções. Apesar de condições de trabalho pouco favoráveis, número expressivo de mulheres é arrimo de família em Fortaleza. </w:t>
      </w:r>
      <w:r w:rsidR="003824C6">
        <w:rPr>
          <w:rFonts w:ascii="Arial" w:hAnsi="Arial" w:cs="Arial"/>
          <w:sz w:val="22"/>
          <w:szCs w:val="22"/>
        </w:rPr>
        <w:t>(Diógenes, 2010)</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O Seminário sobre a Exploração Sexual de Crianças e Adolescentes nas Américas, em 1996, sintetiza alguns padrões percebidos referentes </w:t>
      </w:r>
      <w:r w:rsidR="002A2DEC">
        <w:rPr>
          <w:rFonts w:ascii="Arial" w:hAnsi="Arial" w:cs="Arial"/>
          <w:sz w:val="22"/>
          <w:szCs w:val="22"/>
        </w:rPr>
        <w:t>a</w:t>
      </w:r>
      <w:r w:rsidRPr="00FD62A0">
        <w:rPr>
          <w:rFonts w:ascii="Arial" w:hAnsi="Arial" w:cs="Arial"/>
          <w:sz w:val="22"/>
          <w:szCs w:val="22"/>
        </w:rPr>
        <w:t xml:space="preserve"> essa situação:</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iCs/>
          <w:sz w:val="20"/>
          <w:szCs w:val="20"/>
        </w:rPr>
        <w:t xml:space="preserve">a idade das crianças e adolescentes submetidos a exploração sexual, oscila entre </w:t>
      </w:r>
      <w:smartTag w:uri="urn:schemas-microsoft-com:office:smarttags" w:element="metricconverter">
        <w:smartTagPr>
          <w:attr w:name="ProductID" w:val="10 a"/>
        </w:smartTagPr>
        <w:r w:rsidRPr="00CD409D">
          <w:rPr>
            <w:rFonts w:ascii="Arial" w:hAnsi="Arial" w:cs="Arial"/>
            <w:iCs/>
            <w:sz w:val="20"/>
            <w:szCs w:val="20"/>
          </w:rPr>
          <w:t>10 a</w:t>
        </w:r>
      </w:smartTag>
      <w:r w:rsidRPr="00CD409D">
        <w:rPr>
          <w:rFonts w:ascii="Arial" w:hAnsi="Arial" w:cs="Arial"/>
          <w:iCs/>
          <w:sz w:val="20"/>
          <w:szCs w:val="20"/>
        </w:rPr>
        <w:t xml:space="preserve"> 19 anos e tanto podem ser do sexo feminino quanto do masculino, de todas as classes sociais e etnias. A grande incidência ocorre entre adolescente mulheres, provenientes das classes populares de baixa renda que vivem na periferia dos centros urbanos, nos garimpos e outros locais similares</w:t>
      </w:r>
      <w:r w:rsidRPr="00CD409D">
        <w:rPr>
          <w:rFonts w:ascii="Arial" w:hAnsi="Arial" w:cs="Arial"/>
          <w:sz w:val="20"/>
          <w:szCs w:val="20"/>
        </w:rPr>
        <w:t>. (Leal, 1999)</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 xml:space="preserve">Ainda no intuito de traçar um perfil das crianças e jovens abusados no Estado do Ceará, foi desenvolvido em 2003 o estudo “Pesquisa sobre exploração sexual comercial de </w:t>
      </w:r>
      <w:r w:rsidRPr="00FD62A0">
        <w:rPr>
          <w:rFonts w:ascii="Arial" w:hAnsi="Arial" w:cs="Arial"/>
          <w:sz w:val="22"/>
          <w:szCs w:val="22"/>
        </w:rPr>
        <w:lastRenderedPageBreak/>
        <w:t>crianças e adolescentes no estado do Ceará” elaborado pelo Unicef e pela Universidade do Estado do Ceará. O perfil encontrado é o que se segue</w:t>
      </w:r>
      <w:r w:rsidRPr="00FD62A0">
        <w:rPr>
          <w:rStyle w:val="Refdenotaderodap"/>
          <w:rFonts w:ascii="Arial" w:hAnsi="Arial" w:cs="Arial"/>
          <w:sz w:val="22"/>
          <w:szCs w:val="22"/>
        </w:rPr>
        <w:footnoteReference w:id="7"/>
      </w:r>
      <w:r w:rsidR="00F32F6B" w:rsidRPr="00FD62A0">
        <w:rPr>
          <w:rFonts w:ascii="Arial" w:hAnsi="Arial" w:cs="Arial"/>
          <w:sz w:val="22"/>
          <w:szCs w:val="22"/>
        </w:rPr>
        <w:t xml:space="preserve"> no gráfico 3.5 abaixo:</w:t>
      </w:r>
    </w:p>
    <w:p w:rsidR="00933F2B" w:rsidRPr="00FD62A0" w:rsidRDefault="00933F2B" w:rsidP="00BF4427">
      <w:pPr>
        <w:spacing w:line="360" w:lineRule="auto"/>
        <w:jc w:val="both"/>
        <w:rPr>
          <w:rFonts w:ascii="Arial" w:hAnsi="Arial" w:cs="Arial"/>
          <w:sz w:val="22"/>
          <w:szCs w:val="22"/>
        </w:rPr>
      </w:pPr>
    </w:p>
    <w:p w:rsidR="00BD391C" w:rsidRPr="00FD62A0" w:rsidRDefault="00BD391C" w:rsidP="00537312">
      <w:pPr>
        <w:spacing w:line="360" w:lineRule="auto"/>
        <w:jc w:val="center"/>
        <w:rPr>
          <w:rFonts w:ascii="Arial" w:hAnsi="Arial" w:cs="Arial"/>
          <w:b/>
          <w:sz w:val="22"/>
          <w:szCs w:val="22"/>
        </w:rPr>
      </w:pPr>
      <w:r w:rsidRPr="00FD62A0">
        <w:rPr>
          <w:rFonts w:ascii="Arial" w:hAnsi="Arial" w:cs="Arial"/>
          <w:b/>
          <w:sz w:val="22"/>
          <w:szCs w:val="22"/>
        </w:rPr>
        <w:t>Gráfico 3.5. Perfil das vítimas no Estado do Ceará</w:t>
      </w:r>
    </w:p>
    <w:p w:rsidR="00F32F6B" w:rsidRPr="00FD62A0" w:rsidRDefault="00933F2B" w:rsidP="003F0C8B">
      <w:pPr>
        <w:spacing w:line="360" w:lineRule="auto"/>
        <w:jc w:val="center"/>
        <w:rPr>
          <w:rFonts w:ascii="Arial" w:hAnsi="Arial" w:cs="Arial"/>
          <w:sz w:val="22"/>
          <w:szCs w:val="22"/>
        </w:rPr>
      </w:pPr>
      <w:r w:rsidRPr="00FD62A0">
        <w:rPr>
          <w:rFonts w:ascii="Arial" w:hAnsi="Arial" w:cs="Arial"/>
          <w:noProof/>
          <w:sz w:val="22"/>
          <w:szCs w:val="22"/>
        </w:rPr>
        <w:pict>
          <v:shape id="_x0000_s1124" type="#_x0000_t202" style="position:absolute;left:0;text-align:left;margin-left:42.7pt;margin-top:183.4pt;width:293.2pt;height:20.6pt;z-index:251661824;mso-height-percent:200;mso-height-percent:200;mso-width-relative:margin;mso-height-relative:margin" strokecolor="white">
            <v:textbox style="mso-next-textbox:#_x0000_s1124;mso-fit-shape-to-text:t">
              <w:txbxContent>
                <w:p w:rsidR="00F478F9" w:rsidRPr="008D1F36" w:rsidRDefault="00F478F9" w:rsidP="00933F2B">
                  <w:pPr>
                    <w:rPr>
                      <w:rFonts w:ascii="Arial" w:hAnsi="Arial" w:cs="Arial"/>
                      <w:sz w:val="22"/>
                      <w:szCs w:val="22"/>
                    </w:rPr>
                  </w:pPr>
                  <w:r w:rsidRPr="008D1F36">
                    <w:rPr>
                      <w:rFonts w:ascii="Arial" w:hAnsi="Arial" w:cs="Arial"/>
                      <w:sz w:val="22"/>
                      <w:szCs w:val="22"/>
                    </w:rPr>
                    <w:t>Fonte: Dados do Disque 100 2009/2010</w:t>
                  </w:r>
                </w:p>
              </w:txbxContent>
            </v:textbox>
          </v:shape>
        </w:pict>
      </w:r>
      <w:r w:rsidR="00765105">
        <w:rPr>
          <w:rFonts w:ascii="Arial" w:hAnsi="Arial" w:cs="Arial"/>
          <w:noProof/>
          <w:sz w:val="22"/>
          <w:szCs w:val="22"/>
        </w:rPr>
        <w:drawing>
          <wp:inline distT="0" distB="0" distL="0" distR="0">
            <wp:extent cx="4686300" cy="2324100"/>
            <wp:effectExtent l="0" t="0" r="0" b="0"/>
            <wp:docPr id="6" name="Objeto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33F2B" w:rsidRPr="00FD62A0" w:rsidRDefault="00933F2B" w:rsidP="00BF4427">
      <w:pPr>
        <w:spacing w:line="360" w:lineRule="auto"/>
        <w:ind w:firstLine="708"/>
        <w:jc w:val="both"/>
        <w:rPr>
          <w:rFonts w:ascii="Arial" w:hAnsi="Arial" w:cs="Arial"/>
          <w:sz w:val="22"/>
          <w:szCs w:val="22"/>
        </w:rPr>
      </w:pPr>
    </w:p>
    <w:p w:rsidR="00C90C33" w:rsidRDefault="00C90C33" w:rsidP="00BF4427">
      <w:pPr>
        <w:spacing w:line="360" w:lineRule="auto"/>
        <w:ind w:firstLine="708"/>
        <w:jc w:val="both"/>
        <w:rPr>
          <w:rFonts w:ascii="Arial" w:hAnsi="Arial" w:cs="Arial"/>
          <w:sz w:val="22"/>
          <w:szCs w:val="22"/>
        </w:rPr>
      </w:pP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A pesquisa sobre a exploração sexual </w:t>
      </w:r>
      <w:r w:rsidR="00A85E06">
        <w:rPr>
          <w:rFonts w:ascii="Arial" w:hAnsi="Arial" w:cs="Arial"/>
          <w:sz w:val="22"/>
          <w:szCs w:val="22"/>
        </w:rPr>
        <w:t>infantojuvenil</w:t>
      </w:r>
      <w:r w:rsidRPr="00FD62A0">
        <w:rPr>
          <w:rFonts w:ascii="Arial" w:hAnsi="Arial" w:cs="Arial"/>
          <w:sz w:val="22"/>
          <w:szCs w:val="22"/>
        </w:rPr>
        <w:t xml:space="preserve"> no turismo de Fortaleza, concluída em 2009, desenha o mapa da exploração sexual de crianças e jovens. </w:t>
      </w:r>
      <w:r w:rsidR="002A2DEC">
        <w:rPr>
          <w:rFonts w:ascii="Arial" w:hAnsi="Arial" w:cs="Arial"/>
          <w:sz w:val="22"/>
          <w:szCs w:val="22"/>
        </w:rPr>
        <w:t>A</w:t>
      </w:r>
      <w:r w:rsidRPr="00FD62A0">
        <w:rPr>
          <w:rFonts w:ascii="Arial" w:hAnsi="Arial" w:cs="Arial"/>
          <w:sz w:val="22"/>
          <w:szCs w:val="22"/>
        </w:rPr>
        <w:t xml:space="preserve"> pesquisa aponta dados relevantes como aspectos individuais, familiares e sociais desses meninos e meninas. Nesse sentido, são discriminados abaixo os referidos aspectos, no intuito de apresentar a realidade vivenciada pelas crianças e jovens em Fortaleza, cidade alvo dos projetos estudados neste trabalho.</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O estudo aponta que 57,4% dos jovens é do sexo feminino e 42,6% do sexo masculino. Mais uma vez, esse fato direciona para a questão de gênero voltada contra as meninas. Entretanto, se analisado em referência a pesquisas de anos anteriores, é possível verificar que o número de meninos explorados aumentou significativamente</w:t>
      </w:r>
      <w:r w:rsidRPr="00FD62A0">
        <w:rPr>
          <w:rStyle w:val="Refdenotaderodap"/>
          <w:rFonts w:ascii="Arial" w:hAnsi="Arial" w:cs="Arial"/>
          <w:sz w:val="22"/>
          <w:szCs w:val="22"/>
        </w:rPr>
        <w:footnoteReference w:id="8"/>
      </w:r>
      <w:r w:rsidRPr="00FD62A0">
        <w:rPr>
          <w:rFonts w:ascii="Arial" w:hAnsi="Arial" w:cs="Arial"/>
          <w:sz w:val="22"/>
          <w:szCs w:val="22"/>
        </w:rPr>
        <w:t xml:space="preserve"> Destes adolescentes explorados, maioria esmagadora está na idade de </w:t>
      </w:r>
      <w:smartTag w:uri="urn:schemas-microsoft-com:office:smarttags" w:element="metricconverter">
        <w:smartTagPr>
          <w:attr w:name="ProductID" w:val="12 a"/>
        </w:smartTagPr>
        <w:r w:rsidRPr="00FD62A0">
          <w:rPr>
            <w:rFonts w:ascii="Arial" w:hAnsi="Arial" w:cs="Arial"/>
            <w:sz w:val="22"/>
            <w:szCs w:val="22"/>
          </w:rPr>
          <w:t>12 a</w:t>
        </w:r>
      </w:smartTag>
      <w:r w:rsidRPr="00FD62A0">
        <w:rPr>
          <w:rFonts w:ascii="Arial" w:hAnsi="Arial" w:cs="Arial"/>
          <w:sz w:val="22"/>
          <w:szCs w:val="22"/>
        </w:rPr>
        <w:t xml:space="preserve"> 17 anos, ou seja, da pré adolescência </w:t>
      </w:r>
      <w:r w:rsidR="002A2DEC">
        <w:rPr>
          <w:rFonts w:ascii="Arial" w:hAnsi="Arial" w:cs="Arial"/>
          <w:sz w:val="22"/>
          <w:szCs w:val="22"/>
        </w:rPr>
        <w:t>a</w:t>
      </w:r>
      <w:r w:rsidRPr="00FD62A0">
        <w:rPr>
          <w:rFonts w:ascii="Arial" w:hAnsi="Arial" w:cs="Arial"/>
          <w:sz w:val="22"/>
          <w:szCs w:val="22"/>
        </w:rPr>
        <w:t xml:space="preserve"> adolescência, correspondendo a 97,9% dos entrevistados, em detrimento de 2,1% que representam as crianças entre 10 e 11 anos.</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A formação familiar é outro quesito de relevância. A pesquisa aponta que 69% dos jovens mora</w:t>
      </w:r>
      <w:r w:rsidR="004250AF">
        <w:rPr>
          <w:rFonts w:ascii="Arial" w:hAnsi="Arial" w:cs="Arial"/>
          <w:sz w:val="22"/>
          <w:szCs w:val="22"/>
        </w:rPr>
        <w:t>m</w:t>
      </w:r>
      <w:r w:rsidRPr="00FD62A0">
        <w:rPr>
          <w:rFonts w:ascii="Arial" w:hAnsi="Arial" w:cs="Arial"/>
          <w:sz w:val="22"/>
          <w:szCs w:val="22"/>
        </w:rPr>
        <w:t xml:space="preserve"> com suas famílias</w:t>
      </w:r>
      <w:r w:rsidR="004250AF">
        <w:rPr>
          <w:rFonts w:ascii="Arial" w:hAnsi="Arial" w:cs="Arial"/>
          <w:sz w:val="22"/>
          <w:szCs w:val="22"/>
        </w:rPr>
        <w:t>,</w:t>
      </w:r>
      <w:r w:rsidRPr="00FD62A0">
        <w:rPr>
          <w:rFonts w:ascii="Arial" w:hAnsi="Arial" w:cs="Arial"/>
          <w:sz w:val="22"/>
          <w:szCs w:val="22"/>
        </w:rPr>
        <w:t xml:space="preserve"> em comparação a 31% que não moram com elas. Entretanto, o fato de morar com a família não inibe a atuação dos exploradores junto a essas crianças. A maioria delas mantém o fato em segredo de suas famílias, por motivos </w:t>
      </w:r>
      <w:r w:rsidRPr="00FD62A0">
        <w:rPr>
          <w:rFonts w:ascii="Arial" w:hAnsi="Arial" w:cs="Arial"/>
          <w:sz w:val="22"/>
          <w:szCs w:val="22"/>
        </w:rPr>
        <w:lastRenderedPageBreak/>
        <w:t>diversos, e por outro lado, por diversas vezes a família não tem a percepção de que algo de errado ou de diferente está acontecendo a seus filhos.</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Perguntados sobre a formação de suas famílias, a maioria dos jovens apontou que vive na estrutura familiar tradicional: mãe, pai e irmãos, correspondendo a cerca de 30% dos entrevistados. Próxima a essa formação, estão aquelas famílias constituídas a partir de segundos casamentos/uniões, formadas majoritariamente por mãe, padrasto e irmãos, alcançando cerca de 22%. Ainda referente à questão familiar, a maioria dos jovens, 43%, destacam que tem uma relação boa e 37% consideram a relação regular. Apesar destes indícios, parcela também significativa de cerca de 13% considera a relação ruim.</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O perfil educacional dessas crianças e jovens aponta para um quadro de fortalecimento da vulnerabilidade. </w:t>
      </w:r>
      <w:r w:rsidR="004250AF">
        <w:rPr>
          <w:rFonts w:ascii="Arial" w:hAnsi="Arial" w:cs="Arial"/>
          <w:sz w:val="22"/>
          <w:szCs w:val="22"/>
        </w:rPr>
        <w:t>E</w:t>
      </w:r>
      <w:r w:rsidRPr="00FD62A0">
        <w:rPr>
          <w:rFonts w:ascii="Arial" w:hAnsi="Arial" w:cs="Arial"/>
          <w:sz w:val="22"/>
          <w:szCs w:val="22"/>
        </w:rPr>
        <w:t xml:space="preserve">ntre os entrevistados, 43,4% </w:t>
      </w:r>
      <w:r w:rsidR="002A2DEC" w:rsidRPr="00FD62A0">
        <w:rPr>
          <w:rFonts w:ascii="Arial" w:hAnsi="Arial" w:cs="Arial"/>
          <w:sz w:val="22"/>
          <w:szCs w:val="22"/>
        </w:rPr>
        <w:t>têm</w:t>
      </w:r>
      <w:r w:rsidRPr="00FD62A0">
        <w:rPr>
          <w:rFonts w:ascii="Arial" w:hAnsi="Arial" w:cs="Arial"/>
          <w:sz w:val="22"/>
          <w:szCs w:val="22"/>
        </w:rPr>
        <w:t xml:space="preserve"> apenas o ensino fundamental incompleto, 23,3% concluíram</w:t>
      </w:r>
      <w:r w:rsidR="002A2DEC">
        <w:rPr>
          <w:rFonts w:ascii="Arial" w:hAnsi="Arial" w:cs="Arial"/>
          <w:sz w:val="22"/>
          <w:szCs w:val="22"/>
        </w:rPr>
        <w:t xml:space="preserve"> o ensino fundamental e 18,6% têm</w:t>
      </w:r>
      <w:r w:rsidRPr="00FD62A0">
        <w:rPr>
          <w:rFonts w:ascii="Arial" w:hAnsi="Arial" w:cs="Arial"/>
          <w:sz w:val="22"/>
          <w:szCs w:val="22"/>
        </w:rPr>
        <w:t xml:space="preserve"> o ensino médio incompleto. Além disso, questionados quanto à frequência na escola, 53% afirmaram não estar frequentando a escola, em comparação a 41% que afirmaram estar frequentando regularmente a escola.</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Estes dados são preocupantes em um cenário onde o governo busca garantir a universalização do acesso aos estudos. Se um número tão significativo de jovens e crianças não frequentam a escola, supõe-se que haja para eles outras atividades consideradas de maior importância. A falta do ensino, entretanto, colabora fortemente para a consolidação do ciclo vicioso da pobreza, considerado fator de vulnerabilidade na questão da exploração sexual.</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Na questão da exploração sexual em si, perguntados se já sofreram algum tipo de violência sexual, cerca de 29% disseram que sim e cerca de 71% disseram não ter sofrido. Esse resultado aponta outro aspecto de grande importância: Por vezes, a criança ou jovem considera a exploração como algo relacionado </w:t>
      </w:r>
      <w:r w:rsidR="004250AF">
        <w:rPr>
          <w:rFonts w:ascii="Arial" w:hAnsi="Arial" w:cs="Arial"/>
          <w:sz w:val="22"/>
          <w:szCs w:val="22"/>
        </w:rPr>
        <w:t>a</w:t>
      </w:r>
      <w:r w:rsidRPr="00FD62A0">
        <w:rPr>
          <w:rFonts w:ascii="Arial" w:hAnsi="Arial" w:cs="Arial"/>
          <w:sz w:val="22"/>
          <w:szCs w:val="22"/>
        </w:rPr>
        <w:t xml:space="preserve"> vivencia familiar, deixando de considerar, portanto, que tais fatos não deveriam ocorrer. Entre os 29% que afirmaram ter sofrido, em 22% dos casos apontam o vizinho como abusador, em 12,2% dos casos o padrasto e em 7,3% um amigo. Além dos mencionados, são apontados constantemente como abusadores desconhecidos, clientes, tios, primos, traficantes, entre outros.</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A pesquisa aponta ainda outro dado preocupante. Entre os entrevistados 47,3% se declara heterossexual, 38,8% homossexual e 6,2% bissexual. Tal realidade reflete na prostituição destes jovens. Muitos deles, meninos, travestem-se de mulheres para fazerem programas. Os jovens costumam entrar na prostituição a partir dos 12 anos, entretanto, entre os que estavam se prostituindo, a maioria de 29,6% </w:t>
      </w:r>
      <w:r w:rsidR="004250AF" w:rsidRPr="00FD62A0">
        <w:rPr>
          <w:rFonts w:ascii="Arial" w:hAnsi="Arial" w:cs="Arial"/>
          <w:sz w:val="22"/>
          <w:szCs w:val="22"/>
        </w:rPr>
        <w:t>começou</w:t>
      </w:r>
      <w:r w:rsidRPr="00FD62A0">
        <w:rPr>
          <w:rFonts w:ascii="Arial" w:hAnsi="Arial" w:cs="Arial"/>
          <w:sz w:val="22"/>
          <w:szCs w:val="22"/>
        </w:rPr>
        <w:t xml:space="preserve"> por volta dos 15 anos.</w:t>
      </w:r>
    </w:p>
    <w:p w:rsidR="006818BC"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lastRenderedPageBreak/>
        <w:t xml:space="preserve">Os motivos apontados pelos entrevistados, sobre o que os levou a se prostituir, são os mais diversos estando atrelados em sua maioria à questão financeira, como </w:t>
      </w:r>
      <w:r w:rsidR="006818BC" w:rsidRPr="00FD62A0">
        <w:rPr>
          <w:rFonts w:ascii="Arial" w:hAnsi="Arial" w:cs="Arial"/>
          <w:sz w:val="22"/>
          <w:szCs w:val="22"/>
        </w:rPr>
        <w:t>observado a seguir:</w:t>
      </w:r>
    </w:p>
    <w:p w:rsidR="00CD409D" w:rsidRDefault="00CD409D" w:rsidP="00BF4427">
      <w:pPr>
        <w:spacing w:line="360" w:lineRule="auto"/>
        <w:ind w:firstLine="708"/>
        <w:jc w:val="center"/>
        <w:rPr>
          <w:rFonts w:ascii="Arial" w:hAnsi="Arial" w:cs="Arial"/>
          <w:b/>
          <w:sz w:val="22"/>
          <w:szCs w:val="22"/>
        </w:rPr>
      </w:pPr>
    </w:p>
    <w:p w:rsidR="006818BC" w:rsidRPr="00FD62A0" w:rsidRDefault="006818BC" w:rsidP="00BF4427">
      <w:pPr>
        <w:spacing w:line="360" w:lineRule="auto"/>
        <w:ind w:firstLine="708"/>
        <w:jc w:val="center"/>
        <w:rPr>
          <w:rFonts w:ascii="Arial" w:hAnsi="Arial" w:cs="Arial"/>
          <w:b/>
          <w:sz w:val="22"/>
          <w:szCs w:val="22"/>
        </w:rPr>
      </w:pPr>
      <w:r w:rsidRPr="00FD62A0">
        <w:rPr>
          <w:rFonts w:ascii="Arial" w:hAnsi="Arial" w:cs="Arial"/>
          <w:b/>
          <w:sz w:val="22"/>
          <w:szCs w:val="22"/>
        </w:rPr>
        <w:t>Gráfico</w:t>
      </w:r>
      <w:r w:rsidR="00585369" w:rsidRPr="00FD62A0">
        <w:rPr>
          <w:rFonts w:ascii="Arial" w:hAnsi="Arial" w:cs="Arial"/>
          <w:b/>
          <w:sz w:val="22"/>
          <w:szCs w:val="22"/>
        </w:rPr>
        <w:t xml:space="preserve"> 3.6</w:t>
      </w:r>
      <w:r w:rsidR="00CB2423" w:rsidRPr="00FD62A0">
        <w:rPr>
          <w:rFonts w:ascii="Arial" w:hAnsi="Arial" w:cs="Arial"/>
          <w:b/>
          <w:sz w:val="22"/>
          <w:szCs w:val="22"/>
        </w:rPr>
        <w:t>. Motivos para a prostituição:</w:t>
      </w:r>
    </w:p>
    <w:p w:rsidR="006818BC" w:rsidRPr="00FD62A0" w:rsidRDefault="00E54B1A" w:rsidP="00BF4427">
      <w:pPr>
        <w:spacing w:line="360" w:lineRule="auto"/>
        <w:ind w:firstLine="708"/>
        <w:jc w:val="center"/>
        <w:rPr>
          <w:rFonts w:ascii="Arial" w:hAnsi="Arial" w:cs="Arial"/>
          <w:sz w:val="22"/>
          <w:szCs w:val="22"/>
        </w:rPr>
      </w:pPr>
      <w:r w:rsidRPr="00FD62A0">
        <w:rPr>
          <w:rFonts w:ascii="Arial" w:hAnsi="Arial" w:cs="Arial"/>
          <w:noProof/>
          <w:sz w:val="22"/>
          <w:szCs w:val="22"/>
        </w:rPr>
        <w:pict>
          <v:shape id="_x0000_s1125" type="#_x0000_t202" style="position:absolute;left:0;text-align:left;margin-left:38.3pt;margin-top:180.95pt;width:293.2pt;height:20.6pt;z-index:251662848;mso-height-percent:200;mso-height-percent:200;mso-width-relative:margin;mso-height-relative:margin" strokecolor="white">
            <v:textbox style="mso-next-textbox:#_x0000_s1125;mso-fit-shape-to-text:t">
              <w:txbxContent>
                <w:p w:rsidR="00F478F9" w:rsidRPr="008D1F36" w:rsidRDefault="00F478F9" w:rsidP="00474846">
                  <w:pPr>
                    <w:rPr>
                      <w:rFonts w:ascii="Arial" w:hAnsi="Arial" w:cs="Arial"/>
                      <w:sz w:val="22"/>
                      <w:szCs w:val="22"/>
                    </w:rPr>
                  </w:pPr>
                  <w:r>
                    <w:rPr>
                      <w:rFonts w:ascii="Arial" w:hAnsi="Arial" w:cs="Arial"/>
                      <w:sz w:val="22"/>
                      <w:szCs w:val="22"/>
                    </w:rPr>
                    <w:t xml:space="preserve">         </w:t>
                  </w:r>
                  <w:r w:rsidRPr="008D1F36">
                    <w:rPr>
                      <w:rFonts w:ascii="Arial" w:hAnsi="Arial" w:cs="Arial"/>
                      <w:sz w:val="22"/>
                      <w:szCs w:val="22"/>
                    </w:rPr>
                    <w:t>Fonte: Dados do Disque 100 2009/2010</w:t>
                  </w:r>
                </w:p>
              </w:txbxContent>
            </v:textbox>
          </v:shape>
        </w:pict>
      </w:r>
      <w:r w:rsidR="00765105">
        <w:rPr>
          <w:rFonts w:ascii="Arial" w:hAnsi="Arial" w:cs="Arial"/>
          <w:noProof/>
          <w:sz w:val="22"/>
          <w:szCs w:val="22"/>
        </w:rPr>
        <w:drawing>
          <wp:inline distT="0" distB="0" distL="0" distR="0">
            <wp:extent cx="4686300" cy="2324100"/>
            <wp:effectExtent l="0" t="0" r="0" b="0"/>
            <wp:docPr id="7" name="Objeto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E8280D" w:rsidRPr="00FD62A0" w:rsidRDefault="00E8280D" w:rsidP="00BF4427">
      <w:pPr>
        <w:spacing w:line="360" w:lineRule="auto"/>
        <w:ind w:firstLine="708"/>
        <w:jc w:val="both"/>
        <w:rPr>
          <w:rFonts w:ascii="Arial" w:hAnsi="Arial" w:cs="Arial"/>
          <w:sz w:val="22"/>
          <w:szCs w:val="22"/>
        </w:rPr>
      </w:pPr>
    </w:p>
    <w:p w:rsidR="00C96D91" w:rsidRPr="00FD62A0" w:rsidRDefault="00C96D91" w:rsidP="00BF4427">
      <w:pPr>
        <w:spacing w:line="360" w:lineRule="auto"/>
        <w:ind w:firstLine="708"/>
        <w:jc w:val="both"/>
        <w:rPr>
          <w:rFonts w:ascii="Arial" w:hAnsi="Arial" w:cs="Arial"/>
          <w:sz w:val="22"/>
          <w:szCs w:val="22"/>
        </w:rPr>
      </w:pP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Fica clara a necessidade desses jovens de adentrar um mundo que não alcançam caso não tenham dinheiro. O interesse em comprar coisas, frequentar lugares diferentes, conseguir status, leva essas crianças e jovens a se prostituírem, por ser essa uma forma apontada como um jeito fácil de ganhar dinheiro.</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Entre os clientes mais atendidos pelos jovens, a maioria é composta por turistas estrangeiros, seguidos por turistas nacionais e moradores locais. Os jovens preferem atender a turistas estrangeiros por alegarem que eles pagam melhor, oferecem presentes e levam a bons lugares. O valor dos programas é em média de </w:t>
      </w:r>
      <w:smartTag w:uri="urn:schemas-microsoft-com:office:smarttags" w:element="metricconverter">
        <w:smartTagPr>
          <w:attr w:name="ProductID" w:val="30 a"/>
        </w:smartTagPr>
        <w:r w:rsidRPr="00FD62A0">
          <w:rPr>
            <w:rFonts w:ascii="Arial" w:hAnsi="Arial" w:cs="Arial"/>
            <w:sz w:val="22"/>
            <w:szCs w:val="22"/>
          </w:rPr>
          <w:t>30 a</w:t>
        </w:r>
      </w:smartTag>
      <w:r w:rsidRPr="00FD62A0">
        <w:rPr>
          <w:rFonts w:ascii="Arial" w:hAnsi="Arial" w:cs="Arial"/>
          <w:sz w:val="22"/>
          <w:szCs w:val="22"/>
        </w:rPr>
        <w:t xml:space="preserve"> 50 reais, sendo que alguns jovens afirmam chegar a receber 800 reais em uma semana.</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Como fator de preocupação aparece </w:t>
      </w:r>
      <w:r w:rsidR="004250AF">
        <w:rPr>
          <w:rFonts w:ascii="Arial" w:hAnsi="Arial" w:cs="Arial"/>
          <w:sz w:val="22"/>
          <w:szCs w:val="22"/>
        </w:rPr>
        <w:t>a</w:t>
      </w:r>
      <w:r w:rsidRPr="00FD62A0">
        <w:rPr>
          <w:rFonts w:ascii="Arial" w:hAnsi="Arial" w:cs="Arial"/>
          <w:sz w:val="22"/>
          <w:szCs w:val="22"/>
        </w:rPr>
        <w:t xml:space="preserve"> forma como as crianças e adolescentes  se protegem nestes programas. A maioria deles opta por usar contraceptivos de emergência como a pílula do dia seguinte. Isso implica dizer que eles não se protegem nas relações ficando vulneráveis á doenças sexualmente transmissíveis e gravidez precoce.</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 xml:space="preserve">Ao analisar os dados que demonstrem a condição de vida da população, torna-se possível vincular a questão da exploração sexual à condição social. Os jovens e crianças, que notam a realidade a seu redor como pobre em oportunidades, veem em qualquer oportunidade, uma chance de sobreviver. Esse fato as torna extremamente vulneráveis perante os agentes da exploração sexual. O fator da pobreza como ponto de vulnerabilidade dos jovens em relação à exploração sexual não faz com que se </w:t>
      </w:r>
      <w:r w:rsidRPr="00EC6AA7">
        <w:rPr>
          <w:rFonts w:ascii="Arial" w:hAnsi="Arial" w:cs="Arial"/>
          <w:sz w:val="22"/>
          <w:szCs w:val="22"/>
        </w:rPr>
        <w:t>exclua</w:t>
      </w:r>
      <w:r w:rsidR="00EC6AA7" w:rsidRPr="00EC6AA7">
        <w:rPr>
          <w:rFonts w:ascii="Arial" w:hAnsi="Arial" w:cs="Arial"/>
          <w:sz w:val="22"/>
          <w:szCs w:val="22"/>
        </w:rPr>
        <w:t>m</w:t>
      </w:r>
      <w:r w:rsidRPr="00EC6AA7">
        <w:rPr>
          <w:rFonts w:ascii="Arial" w:hAnsi="Arial" w:cs="Arial"/>
          <w:sz w:val="22"/>
          <w:szCs w:val="22"/>
        </w:rPr>
        <w:t>,</w:t>
      </w:r>
      <w:r w:rsidRPr="00FD62A0">
        <w:rPr>
          <w:rFonts w:ascii="Arial" w:hAnsi="Arial" w:cs="Arial"/>
          <w:sz w:val="22"/>
          <w:szCs w:val="22"/>
        </w:rPr>
        <w:t xml:space="preserve"> </w:t>
      </w:r>
      <w:r w:rsidRPr="00FD62A0">
        <w:rPr>
          <w:rFonts w:ascii="Arial" w:hAnsi="Arial" w:cs="Arial"/>
          <w:sz w:val="22"/>
          <w:szCs w:val="22"/>
        </w:rPr>
        <w:lastRenderedPageBreak/>
        <w:t>entretanto, jovens de classes mais elevadas. Estes acabam por diversas vezes sendo vitimados também, por motivos diferentes.</w:t>
      </w:r>
    </w:p>
    <w:p w:rsidR="00FB0942" w:rsidRPr="00FD62A0" w:rsidRDefault="00FB0942" w:rsidP="00BF4427">
      <w:pPr>
        <w:spacing w:line="360" w:lineRule="auto"/>
        <w:jc w:val="both"/>
        <w:rPr>
          <w:rFonts w:ascii="Arial" w:hAnsi="Arial" w:cs="Arial"/>
          <w:sz w:val="22"/>
          <w:szCs w:val="22"/>
        </w:rPr>
      </w:pPr>
    </w:p>
    <w:p w:rsidR="00FB0942" w:rsidRPr="00FD62A0" w:rsidRDefault="00FB0942" w:rsidP="00BF4427">
      <w:pPr>
        <w:autoSpaceDE w:val="0"/>
        <w:autoSpaceDN w:val="0"/>
        <w:adjustRightInd w:val="0"/>
        <w:spacing w:line="360" w:lineRule="auto"/>
        <w:jc w:val="both"/>
        <w:rPr>
          <w:rFonts w:ascii="Arial" w:hAnsi="Arial" w:cs="Arial"/>
          <w:b/>
          <w:sz w:val="22"/>
          <w:szCs w:val="22"/>
        </w:rPr>
      </w:pPr>
      <w:r w:rsidRPr="00FD62A0">
        <w:rPr>
          <w:rFonts w:ascii="Arial" w:hAnsi="Arial" w:cs="Arial"/>
          <w:b/>
          <w:sz w:val="22"/>
          <w:szCs w:val="22"/>
        </w:rPr>
        <w:t>3.2. Iniciativas para mudança</w:t>
      </w:r>
      <w:r w:rsidR="007A3227" w:rsidRPr="00FD62A0">
        <w:rPr>
          <w:rFonts w:ascii="Arial" w:hAnsi="Arial" w:cs="Arial"/>
          <w:b/>
          <w:sz w:val="22"/>
          <w:szCs w:val="22"/>
        </w:rPr>
        <w:t xml:space="preserve"> da exploração sexual no Brasil</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p>
    <w:p w:rsidR="00FB0942" w:rsidRPr="00FD62A0" w:rsidRDefault="00FB0942" w:rsidP="00BF4427">
      <w:pPr>
        <w:autoSpaceDE w:val="0"/>
        <w:autoSpaceDN w:val="0"/>
        <w:adjustRightInd w:val="0"/>
        <w:spacing w:line="360" w:lineRule="auto"/>
        <w:jc w:val="both"/>
        <w:rPr>
          <w:rFonts w:ascii="Arial" w:hAnsi="Arial" w:cs="Arial"/>
          <w:sz w:val="22"/>
          <w:szCs w:val="22"/>
        </w:rPr>
      </w:pPr>
      <w:r w:rsidRPr="00FD62A0">
        <w:rPr>
          <w:rFonts w:ascii="Arial" w:hAnsi="Arial" w:cs="Arial"/>
          <w:sz w:val="22"/>
          <w:szCs w:val="22"/>
        </w:rPr>
        <w:t>O esforço no combate ao proble</w:t>
      </w:r>
      <w:r w:rsidR="007A3227" w:rsidRPr="00FD62A0">
        <w:rPr>
          <w:rFonts w:ascii="Arial" w:hAnsi="Arial" w:cs="Arial"/>
          <w:sz w:val="22"/>
          <w:szCs w:val="22"/>
        </w:rPr>
        <w:t xml:space="preserve">ma da exploração sexual </w:t>
      </w:r>
      <w:r w:rsidR="00A85E06">
        <w:rPr>
          <w:rFonts w:ascii="Arial" w:hAnsi="Arial" w:cs="Arial"/>
          <w:sz w:val="22"/>
          <w:szCs w:val="22"/>
        </w:rPr>
        <w:t>infantojuvenil</w:t>
      </w:r>
      <w:r w:rsidRPr="00FD62A0">
        <w:rPr>
          <w:rFonts w:ascii="Arial" w:hAnsi="Arial" w:cs="Arial"/>
          <w:sz w:val="22"/>
          <w:szCs w:val="22"/>
        </w:rPr>
        <w:t xml:space="preserve"> engloba todos os níveis estruturais onde a criança e o </w:t>
      </w:r>
      <w:r w:rsidRPr="00EC6AA7">
        <w:rPr>
          <w:rFonts w:ascii="Arial" w:hAnsi="Arial" w:cs="Arial"/>
          <w:sz w:val="22"/>
          <w:szCs w:val="22"/>
        </w:rPr>
        <w:t xml:space="preserve">jovem estão </w:t>
      </w:r>
      <w:r w:rsidRPr="00FD62A0">
        <w:rPr>
          <w:rFonts w:ascii="Arial" w:hAnsi="Arial" w:cs="Arial"/>
          <w:sz w:val="22"/>
          <w:szCs w:val="22"/>
        </w:rPr>
        <w:t xml:space="preserve">inseridos, cabendo a família, sociedade e </w:t>
      </w:r>
      <w:r w:rsidR="008074A3" w:rsidRPr="00FD62A0">
        <w:rPr>
          <w:rFonts w:ascii="Arial" w:hAnsi="Arial" w:cs="Arial"/>
          <w:sz w:val="22"/>
          <w:szCs w:val="22"/>
        </w:rPr>
        <w:t>e</w:t>
      </w:r>
      <w:r w:rsidRPr="00FD62A0">
        <w:rPr>
          <w:rFonts w:ascii="Arial" w:hAnsi="Arial" w:cs="Arial"/>
          <w:sz w:val="22"/>
          <w:szCs w:val="22"/>
        </w:rPr>
        <w:t>stado articularem-se na busca por instrumentos de combate a este mal. É neste cenário que se aplica o conceito de rede de proteção,</w:t>
      </w:r>
      <w:r w:rsidR="007B3E03">
        <w:rPr>
          <w:rFonts w:ascii="Arial" w:hAnsi="Arial" w:cs="Arial"/>
          <w:sz w:val="22"/>
          <w:szCs w:val="22"/>
        </w:rPr>
        <w:t xml:space="preserve"> que tem os mesmos preceitos da parceria público-privada,</w:t>
      </w:r>
      <w:r w:rsidRPr="00FD62A0">
        <w:rPr>
          <w:rFonts w:ascii="Arial" w:hAnsi="Arial" w:cs="Arial"/>
          <w:sz w:val="22"/>
          <w:szCs w:val="22"/>
        </w:rPr>
        <w:t xml:space="preserve"> onde todas as instâncias trabalham juntas em prol de soluções, conforme definição abaixo:</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 xml:space="preserve">A </w:t>
      </w:r>
      <w:r w:rsidRPr="00CD409D">
        <w:rPr>
          <w:rFonts w:ascii="Arial" w:hAnsi="Arial" w:cs="Arial"/>
          <w:i/>
          <w:iCs/>
          <w:sz w:val="20"/>
          <w:szCs w:val="20"/>
        </w:rPr>
        <w:t xml:space="preserve">Rede de Proteção </w:t>
      </w:r>
      <w:r w:rsidRPr="00CD409D">
        <w:rPr>
          <w:rFonts w:ascii="Arial" w:hAnsi="Arial" w:cs="Arial"/>
          <w:sz w:val="20"/>
          <w:szCs w:val="20"/>
        </w:rPr>
        <w:t xml:space="preserve">não requer necessariamente um novo serviço, ou uma nova obra, mas sim uma concepção que dá ênfase à integração e intersetorialidade. A concepção de </w:t>
      </w:r>
      <w:r w:rsidRPr="00CD409D">
        <w:rPr>
          <w:rFonts w:ascii="Arial" w:hAnsi="Arial" w:cs="Arial"/>
          <w:i/>
          <w:iCs/>
          <w:sz w:val="20"/>
          <w:szCs w:val="20"/>
        </w:rPr>
        <w:t xml:space="preserve">Rede </w:t>
      </w:r>
      <w:r w:rsidRPr="00CD409D">
        <w:rPr>
          <w:rFonts w:ascii="Arial" w:hAnsi="Arial" w:cs="Arial"/>
          <w:sz w:val="20"/>
          <w:szCs w:val="20"/>
        </w:rPr>
        <w:t>permite que novos parceiros se agreguem, ampliando o espectro inicial de instituições e, portanto, de alternativas de intervenção. Ampliar parceiros, envolver instituições governamentais e não governamentais e a comunidade, são algumas diretrizes que norteiam a Rede de Proteção</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(Comitê Nacional de Enfrentamento à Violência Sexual contra Crianças e Adolescentes., 2007)</w:t>
      </w:r>
    </w:p>
    <w:p w:rsidR="00FB0942" w:rsidRPr="00FD62A0" w:rsidRDefault="00FB0942" w:rsidP="00BF4427">
      <w:pPr>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Para que as redes de proteção sejam efetivas no combate é imprescindível que todos os envolvidos compartilhem do propósito de enfrentamento, não sendo suficientes apenas a vontade da sociedade ou a formulação de políticas públicas por parte do governo. Partindo-se deste conceito, são analisadas a seguir, iniciativas legais e práticas em âmbito nacional e internacional, sabendo-se que todas são complementares e jamais excludentes.</w:t>
      </w:r>
    </w:p>
    <w:p w:rsidR="00FB0942" w:rsidRPr="00FD62A0" w:rsidRDefault="00FB0942" w:rsidP="00BF4427">
      <w:pPr>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 xml:space="preserve">Segundo a Organização dos Estados Americanos, internacionalmente, o Brasil ratificou diversos instrumentos internacionais de notável importância para o combate à exploração sexual </w:t>
      </w:r>
      <w:r w:rsidR="00A85E06">
        <w:rPr>
          <w:rFonts w:ascii="Arial" w:hAnsi="Arial" w:cs="Arial"/>
          <w:sz w:val="22"/>
          <w:szCs w:val="22"/>
        </w:rPr>
        <w:t>infantojuvenil</w:t>
      </w:r>
      <w:r w:rsidRPr="00FD62A0">
        <w:rPr>
          <w:rFonts w:ascii="Arial" w:hAnsi="Arial" w:cs="Arial"/>
          <w:sz w:val="22"/>
          <w:szCs w:val="22"/>
        </w:rPr>
        <w:t xml:space="preserve">. Entre os principais, cabe mencionar: a Convenção sobre os direitos da criança de 1989; o Protocolo facultativo relativo </w:t>
      </w:r>
      <w:r w:rsidR="004250AF">
        <w:rPr>
          <w:rFonts w:ascii="Arial" w:hAnsi="Arial" w:cs="Arial"/>
          <w:sz w:val="22"/>
          <w:szCs w:val="22"/>
        </w:rPr>
        <w:t>à</w:t>
      </w:r>
      <w:r w:rsidRPr="00FD62A0">
        <w:rPr>
          <w:rFonts w:ascii="Arial" w:hAnsi="Arial" w:cs="Arial"/>
          <w:sz w:val="22"/>
          <w:szCs w:val="22"/>
        </w:rPr>
        <w:t xml:space="preserve"> venda de crianças, a prostituição infantil e a utilização de crianças para pornografia de 2000; o Convênio sobre a proibição das piores formas de trabalho infantil e a ação imediata para sua eliminação de 1999 e a Convenção Interamericana contra o tráfico internacional de menores em 1994. Os mencionados instrumentos foram ratificados pelo Brasil respectivamente em 1990, 2004, 2000 e 1997.</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Entre estes, notoriamente o de maior destaque internacional é a Convenção Internacional dos Direitos da Criança, que estabelece que o jovem dev</w:t>
      </w:r>
      <w:r w:rsidR="008074A3" w:rsidRPr="00FD62A0">
        <w:rPr>
          <w:rFonts w:ascii="Arial" w:hAnsi="Arial" w:cs="Arial"/>
          <w:sz w:val="22"/>
          <w:szCs w:val="22"/>
        </w:rPr>
        <w:t>a</w:t>
      </w:r>
      <w:r w:rsidRPr="00FD62A0">
        <w:rPr>
          <w:rFonts w:ascii="Arial" w:hAnsi="Arial" w:cs="Arial"/>
          <w:sz w:val="22"/>
          <w:szCs w:val="22"/>
        </w:rPr>
        <w:t xml:space="preserve"> ser considerado como sujeito de direito. A referida Convenção situa em seu artigo 19:</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lastRenderedPageBreak/>
        <w:t>1.Os Estados Partes adotarão todas as medidas legislativas, administrativas, sociais e educativas adequadas à proteção da criança contra todas as formas de violência física ou mental, dano ou sevícia, abandono ou tratamento negligente, maus tratos ou exploração, incluindo a violência sexual, enquanto se encontrar sob a guarda de seus pais ou de um deles, dos representantes legais ou de qualquer outra pessoa a cuja guarda haja sido confiada.</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 xml:space="preserve"> 2.Tais medidas de proteção devem incluir, consoante o caso, processos eficazes para o estabelecimento de programas sociais destinados a assegurar o apoio necessário à criança e àqueles a cuja guarda está confiada, bem como outras formas de prevenção, e para identificação, elaboração de relatório, transmissão, investigação, tratamento e acompanhamento dos casos de maus tratos infligidos à criança, acima descritos compreendendo igualmente, se necessário, processos de intervenção judicial</w:t>
      </w:r>
      <w:r w:rsidR="008074A3" w:rsidRPr="00CD409D">
        <w:rPr>
          <w:rFonts w:ascii="Arial" w:hAnsi="Arial" w:cs="Arial"/>
          <w:sz w:val="20"/>
          <w:szCs w:val="20"/>
        </w:rPr>
        <w:t>.</w:t>
      </w:r>
      <w:r w:rsidRPr="00CD409D">
        <w:rPr>
          <w:rFonts w:ascii="Arial" w:hAnsi="Arial" w:cs="Arial"/>
          <w:sz w:val="20"/>
          <w:szCs w:val="20"/>
        </w:rPr>
        <w:t xml:space="preserve"> (Convenção Internacional d</w:t>
      </w:r>
      <w:r w:rsidR="008074A3" w:rsidRPr="00CD409D">
        <w:rPr>
          <w:rFonts w:ascii="Arial" w:hAnsi="Arial" w:cs="Arial"/>
          <w:sz w:val="20"/>
          <w:szCs w:val="20"/>
        </w:rPr>
        <w:t>os Direitos da Criança, 1989)</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Conforme o artigo supramencionado, a Convenção define parâmetros internacionais a serem adotados por seus países membros. Sendo assim, é aberto espaço para inserir, aos poucos, a temática nas políticas públicas</w:t>
      </w:r>
    </w:p>
    <w:p w:rsidR="00FB0942" w:rsidRPr="00FD62A0" w:rsidRDefault="004C736F" w:rsidP="00BF4427">
      <w:pPr>
        <w:autoSpaceDE w:val="0"/>
        <w:autoSpaceDN w:val="0"/>
        <w:adjustRightInd w:val="0"/>
        <w:spacing w:line="360" w:lineRule="auto"/>
        <w:ind w:firstLine="708"/>
        <w:jc w:val="both"/>
        <w:rPr>
          <w:rFonts w:ascii="Arial" w:hAnsi="Arial" w:cs="Arial"/>
          <w:sz w:val="22"/>
          <w:szCs w:val="22"/>
        </w:rPr>
      </w:pPr>
      <w:r>
        <w:rPr>
          <w:rFonts w:ascii="Arial" w:hAnsi="Arial" w:cs="Arial"/>
          <w:sz w:val="22"/>
          <w:szCs w:val="22"/>
        </w:rPr>
        <w:t>No Brasil</w:t>
      </w:r>
      <w:r w:rsidR="00FB0942" w:rsidRPr="00FD62A0">
        <w:rPr>
          <w:rFonts w:ascii="Arial" w:hAnsi="Arial" w:cs="Arial"/>
          <w:sz w:val="22"/>
          <w:szCs w:val="22"/>
        </w:rPr>
        <w:t xml:space="preserve">, o combate à exploração sexual </w:t>
      </w:r>
      <w:r w:rsidR="00A85E06">
        <w:rPr>
          <w:rFonts w:ascii="Arial" w:hAnsi="Arial" w:cs="Arial"/>
          <w:sz w:val="22"/>
          <w:szCs w:val="22"/>
        </w:rPr>
        <w:t>infantojuvenil</w:t>
      </w:r>
      <w:r w:rsidR="00FB0942" w:rsidRPr="00FD62A0">
        <w:rPr>
          <w:rFonts w:ascii="Arial" w:hAnsi="Arial" w:cs="Arial"/>
          <w:sz w:val="22"/>
          <w:szCs w:val="22"/>
        </w:rPr>
        <w:t xml:space="preserve"> conta com os seguintes instrumentos legais: a Constituição Federal, o Estatuto da Criança e do Adolescente e o Código Penal.</w:t>
      </w:r>
    </w:p>
    <w:p w:rsidR="00FB0942" w:rsidRPr="00FD62A0" w:rsidRDefault="00FB0942" w:rsidP="00BF4427">
      <w:pPr>
        <w:pStyle w:val="NormalWeb"/>
        <w:spacing w:before="0" w:beforeAutospacing="0" w:after="0" w:afterAutospacing="0" w:line="360" w:lineRule="auto"/>
        <w:rPr>
          <w:rFonts w:ascii="Arial" w:hAnsi="Arial" w:cs="Arial"/>
          <w:sz w:val="22"/>
          <w:szCs w:val="22"/>
        </w:rPr>
      </w:pPr>
      <w:r w:rsidRPr="00FD62A0">
        <w:rPr>
          <w:rFonts w:ascii="Arial" w:hAnsi="Arial" w:cs="Arial"/>
          <w:sz w:val="22"/>
          <w:szCs w:val="22"/>
        </w:rPr>
        <w:tab/>
        <w:t xml:space="preserve">A Constituição Federal, </w:t>
      </w:r>
      <w:smartTag w:uri="urn:schemas-microsoft-com:office:smarttags" w:element="PersonName">
        <w:smartTagPr>
          <w:attr w:name="ProductID" w:val="em seu Artigo"/>
        </w:smartTagPr>
        <w:r w:rsidRPr="00FD62A0">
          <w:rPr>
            <w:rFonts w:ascii="Arial" w:hAnsi="Arial" w:cs="Arial"/>
            <w:sz w:val="22"/>
            <w:szCs w:val="22"/>
          </w:rPr>
          <w:t>em seu Artigo</w:t>
        </w:r>
      </w:smartTag>
      <w:r w:rsidRPr="00FD62A0">
        <w:rPr>
          <w:rFonts w:ascii="Arial" w:hAnsi="Arial" w:cs="Arial"/>
          <w:sz w:val="22"/>
          <w:szCs w:val="22"/>
        </w:rPr>
        <w:t xml:space="preserve"> 227, afirma que:</w:t>
      </w:r>
    </w:p>
    <w:p w:rsidR="00FB0942" w:rsidRPr="00CD409D" w:rsidRDefault="00FB0942" w:rsidP="00BF4427">
      <w:pPr>
        <w:pStyle w:val="NormalWeb"/>
        <w:spacing w:before="0" w:beforeAutospacing="0" w:after="0" w:afterAutospacing="0" w:line="360" w:lineRule="auto"/>
        <w:ind w:left="709"/>
        <w:jc w:val="both"/>
        <w:rPr>
          <w:sz w:val="20"/>
          <w:szCs w:val="20"/>
        </w:rPr>
      </w:pPr>
      <w:r w:rsidRPr="00CD409D">
        <w:rPr>
          <w:rFonts w:ascii="Arial" w:hAnsi="Arial" w:cs="Arial"/>
          <w:sz w:val="20"/>
          <w:szCs w:val="20"/>
        </w:rPr>
        <w:t>É dever da família, da sociedade e do Estado assegurar à criança e ao adolescente, com absoluta prioridade, o direito à vida, à saúde, à alimentação, à educação, ao lazer, à profissionalização, à cultura, à dignidade, ao respeito, à liberdade e à convivência familiar e comunitária, além de colocá-los a salvo de toda forma de negligência, discriminação, exploração, violência, crueldade e opressão. (Constituição Federal, 1988)</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Fica claro em tal citação que o grupo ao qual a criança pertence, a saber, </w:t>
      </w:r>
      <w:r w:rsidR="00835C2F" w:rsidRPr="00FD62A0">
        <w:rPr>
          <w:rFonts w:ascii="Arial" w:hAnsi="Arial" w:cs="Arial"/>
          <w:sz w:val="22"/>
          <w:szCs w:val="22"/>
        </w:rPr>
        <w:t>família, sociedade e Estado, têm</w:t>
      </w:r>
      <w:r w:rsidRPr="00FD62A0">
        <w:rPr>
          <w:rFonts w:ascii="Arial" w:hAnsi="Arial" w:cs="Arial"/>
          <w:sz w:val="22"/>
          <w:szCs w:val="22"/>
        </w:rPr>
        <w:t xml:space="preserve"> a obrigação de assegurar a essa seus direitos, assim como sua segurança e liberdade, enquanto pessoa e enquanto cidadão. Qualquer ato em contrário, acaba por colocar em situação de risco as crianças, que por sua idade e maturidade, entre outros fatores, encontra-se em maior situação de vulnerabilidade frente aos adultos.</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O Estatuto da Criança e do Adolescente, de acordo com o instituído na Constituição Federal, e em consonância com o Código Penal Brasileiro, declara no Capítulo II, Artigo 100, incisos III e IV:</w:t>
      </w:r>
    </w:p>
    <w:p w:rsidR="00FB0942" w:rsidRPr="00CD409D" w:rsidRDefault="00FB0942" w:rsidP="00BF4427">
      <w:pPr>
        <w:autoSpaceDE w:val="0"/>
        <w:autoSpaceDN w:val="0"/>
        <w:adjustRightInd w:val="0"/>
        <w:spacing w:line="360" w:lineRule="auto"/>
        <w:ind w:left="709"/>
        <w:jc w:val="both"/>
        <w:rPr>
          <w:rFonts w:ascii="Arial" w:hAnsi="Arial" w:cs="Arial"/>
          <w:color w:val="000000"/>
          <w:sz w:val="20"/>
          <w:szCs w:val="20"/>
        </w:rPr>
      </w:pPr>
      <w:r w:rsidRPr="00CD409D">
        <w:rPr>
          <w:rFonts w:ascii="Arial" w:hAnsi="Arial" w:cs="Arial"/>
          <w:color w:val="000000"/>
          <w:sz w:val="20"/>
          <w:szCs w:val="20"/>
        </w:rPr>
        <w:t>III - responsabilidade primária e solidária do poder público: a plena efetivação dos direitos assegurados a crianças e a adolescentes por esta Lei e pela Constituição Federal, salvo nos casos por esta expressamente ressalvados, é de responsabilidade primária e solidária das 3 (três) esferas de governo, sem prejuízo da municipalização do atendimento e da possibilidade da execução de programas por entidades não governamentais;</w:t>
      </w:r>
    </w:p>
    <w:p w:rsidR="00FB0942" w:rsidRPr="00CD409D" w:rsidRDefault="00FB0942" w:rsidP="00BF4427">
      <w:pPr>
        <w:autoSpaceDE w:val="0"/>
        <w:autoSpaceDN w:val="0"/>
        <w:adjustRightInd w:val="0"/>
        <w:spacing w:line="360" w:lineRule="auto"/>
        <w:ind w:left="709"/>
        <w:jc w:val="both"/>
        <w:rPr>
          <w:rFonts w:ascii="Arial" w:hAnsi="Arial" w:cs="Arial"/>
          <w:color w:val="000000"/>
          <w:sz w:val="20"/>
          <w:szCs w:val="20"/>
        </w:rPr>
      </w:pPr>
      <w:r w:rsidRPr="00CD409D">
        <w:rPr>
          <w:rFonts w:ascii="Arial" w:hAnsi="Arial" w:cs="Arial"/>
          <w:color w:val="000000"/>
          <w:sz w:val="20"/>
          <w:szCs w:val="20"/>
        </w:rPr>
        <w:lastRenderedPageBreak/>
        <w:t>IV - interesse superior da criança e do adolescente: a intervenção deve atender prioritariamente aos interesses e direitos da criança e do adolescente, sem prejuízo da consideração que for devida a outros interesses legítimos no âmbito da pluralidade dos interesses presentes no caso concreto;  (Estatuto da Criança e do Adolescente, 2008)</w:t>
      </w:r>
    </w:p>
    <w:p w:rsidR="00FB0942" w:rsidRPr="00FD62A0" w:rsidRDefault="00FB0942" w:rsidP="00BF4427">
      <w:pPr>
        <w:autoSpaceDE w:val="0"/>
        <w:autoSpaceDN w:val="0"/>
        <w:adjustRightInd w:val="0"/>
        <w:spacing w:line="360" w:lineRule="auto"/>
        <w:ind w:firstLine="709"/>
        <w:jc w:val="both"/>
        <w:rPr>
          <w:rFonts w:ascii="Arial" w:hAnsi="Arial" w:cs="Arial"/>
          <w:color w:val="000000"/>
          <w:sz w:val="22"/>
          <w:szCs w:val="22"/>
        </w:rPr>
      </w:pPr>
      <w:r w:rsidRPr="00FD62A0">
        <w:rPr>
          <w:rFonts w:ascii="Arial" w:hAnsi="Arial" w:cs="Arial"/>
          <w:color w:val="000000"/>
          <w:sz w:val="22"/>
          <w:szCs w:val="22"/>
        </w:rPr>
        <w:t xml:space="preserve">Nos artigos supramencionados, dois aspectos são de relevância para o combate à exploração sexual e demais maus tratos a crianças e adolescentes. O primeiro deles é referente à responsabilidade do poder público. De acordo com o Estatuto, o Governo, em todas as suas esferas deve ser responsável pelo pronto atendimento às crianças e jovens, no que concerne à garantia de seus direitos, seja de modo preventivo, no combate à violação destes, ou ainda no apoio a crianças e jovens e na responsabilização dos culpados, em caso de desrespeito aos direitos infanto-juvenis. </w:t>
      </w:r>
      <w:r w:rsidR="00835C2F">
        <w:rPr>
          <w:rFonts w:ascii="Arial" w:hAnsi="Arial" w:cs="Arial"/>
          <w:color w:val="000000"/>
          <w:sz w:val="22"/>
          <w:szCs w:val="22"/>
        </w:rPr>
        <w:t>É</w:t>
      </w:r>
      <w:r w:rsidRPr="00FD62A0">
        <w:rPr>
          <w:rFonts w:ascii="Arial" w:hAnsi="Arial" w:cs="Arial"/>
          <w:color w:val="000000"/>
          <w:sz w:val="22"/>
          <w:szCs w:val="22"/>
        </w:rPr>
        <w:t xml:space="preserve"> ressaltada ainda, a possibilidade de participação de entidades privadas junto ao governo, conforme ocorre nos Projetos </w:t>
      </w:r>
      <w:r w:rsidR="00C02187" w:rsidRPr="00FD62A0">
        <w:rPr>
          <w:rFonts w:ascii="Arial" w:hAnsi="Arial" w:cs="Arial"/>
          <w:color w:val="000000"/>
          <w:sz w:val="22"/>
          <w:szCs w:val="22"/>
        </w:rPr>
        <w:t>ViraVida</w:t>
      </w:r>
      <w:r w:rsidRPr="00FD62A0">
        <w:rPr>
          <w:rFonts w:ascii="Arial" w:hAnsi="Arial" w:cs="Arial"/>
          <w:color w:val="000000"/>
          <w:sz w:val="22"/>
          <w:szCs w:val="22"/>
        </w:rPr>
        <w:t xml:space="preserve"> e Turismo Sustentável e Infância, analisados neste trabalho como in</w:t>
      </w:r>
      <w:r w:rsidR="00C02187" w:rsidRPr="00FD62A0">
        <w:rPr>
          <w:rFonts w:ascii="Arial" w:hAnsi="Arial" w:cs="Arial"/>
          <w:color w:val="000000"/>
          <w:sz w:val="22"/>
          <w:szCs w:val="22"/>
        </w:rPr>
        <w:t>i</w:t>
      </w:r>
      <w:r w:rsidRPr="00FD62A0">
        <w:rPr>
          <w:rFonts w:ascii="Arial" w:hAnsi="Arial" w:cs="Arial"/>
          <w:color w:val="000000"/>
          <w:sz w:val="22"/>
          <w:szCs w:val="22"/>
        </w:rPr>
        <w:t xml:space="preserve">ciativas de sucesso na luta contra a exploração sexual </w:t>
      </w:r>
      <w:r w:rsidR="00A85E06">
        <w:rPr>
          <w:rFonts w:ascii="Arial" w:hAnsi="Arial" w:cs="Arial"/>
          <w:color w:val="000000"/>
          <w:sz w:val="22"/>
          <w:szCs w:val="22"/>
        </w:rPr>
        <w:t>infantojuvenil</w:t>
      </w:r>
      <w:r w:rsidRPr="00FD62A0">
        <w:rPr>
          <w:rFonts w:ascii="Arial" w:hAnsi="Arial" w:cs="Arial"/>
          <w:color w:val="000000"/>
          <w:sz w:val="22"/>
          <w:szCs w:val="22"/>
        </w:rPr>
        <w:t>.</w:t>
      </w:r>
    </w:p>
    <w:p w:rsidR="00FB0942" w:rsidRPr="00FD62A0" w:rsidRDefault="00FB0942" w:rsidP="00BF4427">
      <w:pPr>
        <w:autoSpaceDE w:val="0"/>
        <w:autoSpaceDN w:val="0"/>
        <w:adjustRightInd w:val="0"/>
        <w:spacing w:line="360" w:lineRule="auto"/>
        <w:ind w:firstLine="709"/>
        <w:jc w:val="both"/>
        <w:rPr>
          <w:rFonts w:ascii="Arial" w:hAnsi="Arial" w:cs="Arial"/>
          <w:color w:val="000000"/>
          <w:sz w:val="22"/>
          <w:szCs w:val="22"/>
        </w:rPr>
      </w:pPr>
      <w:r w:rsidRPr="00FD62A0">
        <w:rPr>
          <w:rFonts w:ascii="Arial" w:hAnsi="Arial" w:cs="Arial"/>
          <w:color w:val="000000"/>
          <w:sz w:val="22"/>
          <w:szCs w:val="22"/>
        </w:rPr>
        <w:t>O segundo aspecto de relevância diz respeito à forma como as crianças passam a ser percebidas nas diversas esferas. As crianças e os jovens, que por muito tempo foram vistos como sujeitos passivos, obrigados a aceitar o que lhes era imposto, passam a ser sujeitos ativos. Isso significa dizer que eles passam a ter voz, a poder lutar para que seus direitos sejam respeitados, e a buscar um novo rumo e sentido para sua</w:t>
      </w:r>
      <w:r w:rsidR="00835C2F">
        <w:rPr>
          <w:rFonts w:ascii="Arial" w:hAnsi="Arial" w:cs="Arial"/>
          <w:color w:val="000000"/>
          <w:sz w:val="22"/>
          <w:szCs w:val="22"/>
        </w:rPr>
        <w:t>s</w:t>
      </w:r>
      <w:r w:rsidRPr="00FD62A0">
        <w:rPr>
          <w:rFonts w:ascii="Arial" w:hAnsi="Arial" w:cs="Arial"/>
          <w:color w:val="000000"/>
          <w:sz w:val="22"/>
          <w:szCs w:val="22"/>
        </w:rPr>
        <w:t xml:space="preserve"> vidas quando isso se tornar necessário.</w:t>
      </w:r>
    </w:p>
    <w:p w:rsidR="00FB0942" w:rsidRPr="00FD62A0" w:rsidRDefault="00835C2F" w:rsidP="00BF4427">
      <w:pPr>
        <w:autoSpaceDE w:val="0"/>
        <w:autoSpaceDN w:val="0"/>
        <w:adjustRightInd w:val="0"/>
        <w:spacing w:line="360" w:lineRule="auto"/>
        <w:ind w:firstLine="709"/>
        <w:jc w:val="both"/>
        <w:rPr>
          <w:rFonts w:ascii="Arial" w:hAnsi="Arial" w:cs="Arial"/>
          <w:sz w:val="22"/>
          <w:szCs w:val="22"/>
        </w:rPr>
      </w:pPr>
      <w:r>
        <w:rPr>
          <w:rFonts w:ascii="Arial" w:hAnsi="Arial" w:cs="Arial"/>
          <w:sz w:val="22"/>
          <w:szCs w:val="22"/>
        </w:rPr>
        <w:t>O</w:t>
      </w:r>
      <w:r w:rsidR="008074A3" w:rsidRPr="00FD62A0">
        <w:rPr>
          <w:rFonts w:ascii="Arial" w:hAnsi="Arial" w:cs="Arial"/>
          <w:sz w:val="22"/>
          <w:szCs w:val="22"/>
        </w:rPr>
        <w:t xml:space="preserve">utro instrumento legal significativo </w:t>
      </w:r>
      <w:r w:rsidR="00FB0942" w:rsidRPr="00FD62A0">
        <w:rPr>
          <w:rFonts w:ascii="Arial" w:hAnsi="Arial" w:cs="Arial"/>
          <w:sz w:val="22"/>
          <w:szCs w:val="22"/>
        </w:rPr>
        <w:t xml:space="preserve">é o Código Penal Brasileiro. O mesmo, quando de sua criação abordava </w:t>
      </w:r>
      <w:smartTag w:uri="urn:schemas-microsoft-com:office:smarttags" w:element="PersonName">
        <w:smartTagPr>
          <w:attr w:name="ProductID" w:val="em seu Título VI"/>
        </w:smartTagPr>
        <w:r w:rsidR="00FB0942" w:rsidRPr="00FD62A0">
          <w:rPr>
            <w:rFonts w:ascii="Arial" w:hAnsi="Arial" w:cs="Arial"/>
            <w:sz w:val="22"/>
            <w:szCs w:val="22"/>
          </w:rPr>
          <w:t>em seu Título VI</w:t>
        </w:r>
      </w:smartTag>
      <w:r w:rsidR="00FB0942" w:rsidRPr="00FD62A0">
        <w:rPr>
          <w:rFonts w:ascii="Arial" w:hAnsi="Arial" w:cs="Arial"/>
          <w:sz w:val="22"/>
          <w:szCs w:val="22"/>
        </w:rPr>
        <w:t xml:space="preserve"> os crimes contra os costumes, tratando em geral de crimes sexuais. Após sua atualização pela Lei n° 12.015 de 2009, o mesmo Título passou a vigorar na redação Dos crimes contra a dignidade sexual, tornando-se mais abrangente em relação às vítimas. Tal alteração foi necessária, em parte, devido ao fato de que inicialmente, o mesmo era focado nas mulheres, havendo pouco espaço dedicado especificamente a casos que envolvem crianças e adolescentes.</w:t>
      </w:r>
    </w:p>
    <w:p w:rsidR="00FB0942" w:rsidRPr="00FD62A0" w:rsidRDefault="00FB0942" w:rsidP="00BF4427">
      <w:pPr>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Para os fins deste trabalho, convém apresentar de forma mais detalhada os Capítulos I e II do referido código, a fim de analisar parte da legislação brasileira dedicada ao tema. O Capítulo I refere-se aos Crimes contra a liberdade sexual, legislando sobre o estupro, violação sexual mediante fraude e assédio sexual. O Capítulo II é dedicado aos crimes sexuais contra vulneráveis, onde é estabelecido como crime o estupro de vulnerável, a corrupção de menores, a satisfação de lascívia mediante presença de criança ou adolescente e o favorecimento da prostituição ou outra forma de exploração sexual de vulnerável.</w:t>
      </w:r>
    </w:p>
    <w:p w:rsidR="00FB0942" w:rsidRPr="00FD62A0" w:rsidRDefault="00FB0942" w:rsidP="00BF4427">
      <w:pPr>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 xml:space="preserve">Como estupro, fica estabelecido no artigo 213, que o ato refere-se a “constranger alguém, mediante violência ou grave ameaça, a ter conjunção carnal ou a praticar ou </w:t>
      </w:r>
      <w:r w:rsidRPr="00FD62A0">
        <w:rPr>
          <w:rFonts w:ascii="Arial" w:hAnsi="Arial" w:cs="Arial"/>
          <w:sz w:val="22"/>
          <w:szCs w:val="22"/>
        </w:rPr>
        <w:lastRenderedPageBreak/>
        <w:t xml:space="preserve">permitir que com ele se pratique outro ato libidinoso”, sendo que as penas de reclusão podem variar de 6 anos a 12 anos, ou de </w:t>
      </w:r>
      <w:smartTag w:uri="urn:schemas-microsoft-com:office:smarttags" w:element="metricconverter">
        <w:smartTagPr>
          <w:attr w:name="ProductID" w:val="12 a"/>
        </w:smartTagPr>
        <w:r w:rsidRPr="00FD62A0">
          <w:rPr>
            <w:rFonts w:ascii="Arial" w:hAnsi="Arial" w:cs="Arial"/>
            <w:sz w:val="22"/>
            <w:szCs w:val="22"/>
          </w:rPr>
          <w:t>12 a</w:t>
        </w:r>
      </w:smartTag>
      <w:r w:rsidRPr="00FD62A0">
        <w:rPr>
          <w:rFonts w:ascii="Arial" w:hAnsi="Arial" w:cs="Arial"/>
          <w:sz w:val="22"/>
          <w:szCs w:val="22"/>
        </w:rPr>
        <w:t xml:space="preserve"> 30 anos em caso de falecimento da vítima em decorrência do ato.</w:t>
      </w:r>
    </w:p>
    <w:p w:rsidR="00FB0942" w:rsidRPr="00FD62A0" w:rsidRDefault="00FB0942" w:rsidP="00BF4427">
      <w:pPr>
        <w:autoSpaceDE w:val="0"/>
        <w:autoSpaceDN w:val="0"/>
        <w:adjustRightInd w:val="0"/>
        <w:spacing w:line="360" w:lineRule="auto"/>
        <w:ind w:firstLine="709"/>
        <w:jc w:val="both"/>
        <w:rPr>
          <w:rFonts w:ascii="Arial" w:hAnsi="Arial" w:cs="Arial"/>
          <w:sz w:val="22"/>
          <w:szCs w:val="22"/>
        </w:rPr>
      </w:pPr>
      <w:r w:rsidRPr="00FD62A0">
        <w:rPr>
          <w:rFonts w:ascii="Arial" w:hAnsi="Arial" w:cs="Arial"/>
          <w:sz w:val="22"/>
          <w:szCs w:val="22"/>
        </w:rPr>
        <w:t>O artigo 215,</w:t>
      </w:r>
      <w:r w:rsidR="00835C2F">
        <w:rPr>
          <w:rFonts w:ascii="Arial" w:hAnsi="Arial" w:cs="Arial"/>
          <w:sz w:val="22"/>
          <w:szCs w:val="22"/>
        </w:rPr>
        <w:t xml:space="preserve"> </w:t>
      </w:r>
      <w:r w:rsidRPr="00FD62A0">
        <w:rPr>
          <w:rFonts w:ascii="Arial" w:hAnsi="Arial" w:cs="Arial"/>
          <w:sz w:val="22"/>
          <w:szCs w:val="22"/>
        </w:rPr>
        <w:t xml:space="preserve">define e penaliza a violação sexual mediante fraude. Fica estabelecido: “Ter conjunção carnal ou praticar outro ato libidinoso com alguém, mediante fraude ou outro meio que impeça ou dificulte a livre manifestação de vontade da vítima”, passível de pena de reclusão de </w:t>
      </w:r>
      <w:smartTag w:uri="urn:schemas-microsoft-com:office:smarttags" w:element="metricconverter">
        <w:smartTagPr>
          <w:attr w:name="ProductID" w:val="2 a"/>
        </w:smartTagPr>
        <w:r w:rsidRPr="00FD62A0">
          <w:rPr>
            <w:rFonts w:ascii="Arial" w:hAnsi="Arial" w:cs="Arial"/>
            <w:sz w:val="22"/>
            <w:szCs w:val="22"/>
          </w:rPr>
          <w:t>2 a</w:t>
        </w:r>
      </w:smartTag>
      <w:r w:rsidRPr="00FD62A0">
        <w:rPr>
          <w:rFonts w:ascii="Arial" w:hAnsi="Arial" w:cs="Arial"/>
          <w:sz w:val="22"/>
          <w:szCs w:val="22"/>
        </w:rPr>
        <w:t xml:space="preserve"> 6 anos.</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Para os casos de assédio sexual, o Código define em seu artigo 216-A: “Constranger </w:t>
      </w:r>
      <w:r w:rsidR="008074A3" w:rsidRPr="00FD62A0">
        <w:rPr>
          <w:rFonts w:ascii="Arial" w:hAnsi="Arial" w:cs="Arial"/>
          <w:sz w:val="22"/>
          <w:szCs w:val="22"/>
        </w:rPr>
        <w:t>alguém</w:t>
      </w:r>
      <w:r w:rsidRPr="00FD62A0">
        <w:rPr>
          <w:rFonts w:ascii="Arial" w:hAnsi="Arial" w:cs="Arial"/>
          <w:sz w:val="22"/>
          <w:szCs w:val="22"/>
        </w:rPr>
        <w:t xml:space="preserve"> com o intuito de obter vantagem ou favorecimento sexual, prevalecendo-se o agente da sua condição de superior hierárquico ou ascendência inerentes ao exercício de emprego, cargo ou função”. A penalidade para tal ato é de </w:t>
      </w:r>
      <w:smartTag w:uri="urn:schemas-microsoft-com:office:smarttags" w:element="metricconverter">
        <w:smartTagPr>
          <w:attr w:name="ProductID" w:val="1 a"/>
        </w:smartTagPr>
        <w:r w:rsidRPr="00FD62A0">
          <w:rPr>
            <w:rFonts w:ascii="Arial" w:hAnsi="Arial" w:cs="Arial"/>
            <w:sz w:val="22"/>
            <w:szCs w:val="22"/>
          </w:rPr>
          <w:t>1 a</w:t>
        </w:r>
      </w:smartTag>
      <w:r w:rsidRPr="00FD62A0">
        <w:rPr>
          <w:rFonts w:ascii="Arial" w:hAnsi="Arial" w:cs="Arial"/>
          <w:sz w:val="22"/>
          <w:szCs w:val="22"/>
        </w:rPr>
        <w:t xml:space="preserve"> 2 anos de detenção, podendo-se aumentar até 1/3 da pena, caso a vítima seja menor de 18 anos.</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Os artigos 217-A, 218 e 218-B são voltados especificamente à proteção de crianças e adolescentes em relação aos crimes sexuais. O Artigo 217-A aborda a questão do estupro de vulnerável, definindo-o como “Ter conjunção carnal ou praticar outro ato libidinoso com menor de 14 anos”. A pena nestes casos é de </w:t>
      </w:r>
      <w:smartTag w:uri="urn:schemas-microsoft-com:office:smarttags" w:element="metricconverter">
        <w:smartTagPr>
          <w:attr w:name="ProductID" w:val="8 a"/>
        </w:smartTagPr>
        <w:r w:rsidRPr="00FD62A0">
          <w:rPr>
            <w:rFonts w:ascii="Arial" w:hAnsi="Arial" w:cs="Arial"/>
            <w:sz w:val="22"/>
            <w:szCs w:val="22"/>
          </w:rPr>
          <w:t>8 a</w:t>
        </w:r>
      </w:smartTag>
      <w:r w:rsidRPr="00FD62A0">
        <w:rPr>
          <w:rFonts w:ascii="Arial" w:hAnsi="Arial" w:cs="Arial"/>
          <w:sz w:val="22"/>
          <w:szCs w:val="22"/>
        </w:rPr>
        <w:t xml:space="preserve"> 15 anos de reclusão, podendo chegar a </w:t>
      </w:r>
      <w:smartTag w:uri="urn:schemas-microsoft-com:office:smarttags" w:element="metricconverter">
        <w:smartTagPr>
          <w:attr w:name="ProductID" w:val="12 a"/>
        </w:smartTagPr>
        <w:r w:rsidRPr="00FD62A0">
          <w:rPr>
            <w:rFonts w:ascii="Arial" w:hAnsi="Arial" w:cs="Arial"/>
            <w:sz w:val="22"/>
            <w:szCs w:val="22"/>
          </w:rPr>
          <w:t>12 a</w:t>
        </w:r>
      </w:smartTag>
      <w:r w:rsidRPr="00FD62A0">
        <w:rPr>
          <w:rFonts w:ascii="Arial" w:hAnsi="Arial" w:cs="Arial"/>
          <w:sz w:val="22"/>
          <w:szCs w:val="22"/>
        </w:rPr>
        <w:t xml:space="preserve"> 30 anos em caso de morte da vítima em decorrência do ato.</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Em seu artigo 218, o Código trata da corrupção de menores, que é caracterizado como “induzir alguém menor de 14 anos a satisfazer a lascívia de outrem”, sendo este ato passível de reclusão de </w:t>
      </w:r>
      <w:smartTag w:uri="urn:schemas-microsoft-com:office:smarttags" w:element="metricconverter">
        <w:smartTagPr>
          <w:attr w:name="ProductID" w:val="2 a"/>
        </w:smartTagPr>
        <w:r w:rsidRPr="00FD62A0">
          <w:rPr>
            <w:rFonts w:ascii="Arial" w:hAnsi="Arial" w:cs="Arial"/>
            <w:sz w:val="22"/>
            <w:szCs w:val="22"/>
          </w:rPr>
          <w:t>2 a</w:t>
        </w:r>
      </w:smartTag>
      <w:r w:rsidRPr="00FD62A0">
        <w:rPr>
          <w:rFonts w:ascii="Arial" w:hAnsi="Arial" w:cs="Arial"/>
          <w:sz w:val="22"/>
          <w:szCs w:val="22"/>
        </w:rPr>
        <w:t xml:space="preserve"> 5 anos.</w:t>
      </w:r>
    </w:p>
    <w:p w:rsidR="00FB0942" w:rsidRPr="00FD62A0" w:rsidRDefault="00835C2F" w:rsidP="00BF4427">
      <w:pPr>
        <w:autoSpaceDE w:val="0"/>
        <w:autoSpaceDN w:val="0"/>
        <w:adjustRightInd w:val="0"/>
        <w:spacing w:line="360" w:lineRule="auto"/>
        <w:ind w:firstLine="709"/>
        <w:jc w:val="both"/>
        <w:rPr>
          <w:rFonts w:ascii="Arial" w:hAnsi="Arial" w:cs="Arial"/>
          <w:sz w:val="22"/>
          <w:szCs w:val="22"/>
        </w:rPr>
      </w:pPr>
      <w:r>
        <w:rPr>
          <w:rFonts w:ascii="Arial" w:hAnsi="Arial" w:cs="Arial"/>
          <w:sz w:val="22"/>
          <w:szCs w:val="22"/>
        </w:rPr>
        <w:t>O Artigo 218-B</w:t>
      </w:r>
      <w:r w:rsidR="00FB0942" w:rsidRPr="00FD62A0">
        <w:rPr>
          <w:rFonts w:ascii="Arial" w:hAnsi="Arial" w:cs="Arial"/>
          <w:sz w:val="22"/>
          <w:szCs w:val="22"/>
        </w:rPr>
        <w:t xml:space="preserve"> encerra este capítulo tratando da prostituição ou outra forma de exploração sexual de vulnerável passível de pena de reclusão de </w:t>
      </w:r>
      <w:smartTag w:uri="urn:schemas-microsoft-com:office:smarttags" w:element="metricconverter">
        <w:smartTagPr>
          <w:attr w:name="ProductID" w:val="4 a"/>
        </w:smartTagPr>
        <w:r w:rsidR="00FB0942" w:rsidRPr="00FD62A0">
          <w:rPr>
            <w:rFonts w:ascii="Arial" w:hAnsi="Arial" w:cs="Arial"/>
            <w:sz w:val="22"/>
            <w:szCs w:val="22"/>
          </w:rPr>
          <w:t>4 a</w:t>
        </w:r>
      </w:smartTag>
      <w:r w:rsidR="00FB0942" w:rsidRPr="00FD62A0">
        <w:rPr>
          <w:rFonts w:ascii="Arial" w:hAnsi="Arial" w:cs="Arial"/>
          <w:sz w:val="22"/>
          <w:szCs w:val="22"/>
        </w:rPr>
        <w:t xml:space="preserve"> 10 anos.</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Define-se, portanto:</w:t>
      </w:r>
    </w:p>
    <w:p w:rsidR="00FB0942" w:rsidRPr="00CD409D" w:rsidRDefault="00FB0942" w:rsidP="00BF4427">
      <w:pPr>
        <w:autoSpaceDE w:val="0"/>
        <w:autoSpaceDN w:val="0"/>
        <w:adjustRightInd w:val="0"/>
        <w:spacing w:line="360" w:lineRule="auto"/>
        <w:ind w:left="709"/>
        <w:jc w:val="both"/>
        <w:rPr>
          <w:rFonts w:ascii="Arial" w:hAnsi="Arial" w:cs="Arial"/>
          <w:sz w:val="20"/>
          <w:szCs w:val="20"/>
        </w:rPr>
      </w:pPr>
      <w:r w:rsidRPr="00CD409D">
        <w:rPr>
          <w:rFonts w:ascii="Arial" w:hAnsi="Arial" w:cs="Arial"/>
          <w:sz w:val="20"/>
          <w:szCs w:val="20"/>
        </w:rPr>
        <w:t>submeter, induzir ou atrair à prostituição ou outra forma de exploração sexual alguém menor de 18 anos ou que, por enfermidade ou deficiência mental, não tem o necessário discernimento para a prática do ato, facilitá-la, impedir ou dificultar que a abandone</w:t>
      </w:r>
      <w:r w:rsidR="008074A3" w:rsidRPr="00CD409D">
        <w:rPr>
          <w:rFonts w:ascii="Arial" w:hAnsi="Arial" w:cs="Arial"/>
          <w:sz w:val="20"/>
          <w:szCs w:val="20"/>
        </w:rPr>
        <w:t xml:space="preserve">. </w:t>
      </w:r>
      <w:r w:rsidRPr="00CD409D">
        <w:rPr>
          <w:rFonts w:ascii="Arial" w:hAnsi="Arial" w:cs="Arial"/>
          <w:sz w:val="20"/>
          <w:szCs w:val="20"/>
        </w:rPr>
        <w:t>(Código Penal Brasileiro Atualizado, 2009)</w:t>
      </w:r>
    </w:p>
    <w:p w:rsidR="00FB0942" w:rsidRPr="00FD62A0" w:rsidRDefault="00FB0942" w:rsidP="00BF4427">
      <w:pPr>
        <w:autoSpaceDE w:val="0"/>
        <w:autoSpaceDN w:val="0"/>
        <w:adjustRightInd w:val="0"/>
        <w:spacing w:line="360" w:lineRule="auto"/>
        <w:ind w:firstLine="709"/>
        <w:jc w:val="both"/>
        <w:rPr>
          <w:rFonts w:ascii="Arial" w:hAnsi="Arial" w:cs="Arial"/>
          <w:sz w:val="22"/>
          <w:szCs w:val="22"/>
        </w:rPr>
      </w:pPr>
      <w:r w:rsidRPr="00FD62A0">
        <w:rPr>
          <w:rFonts w:ascii="Arial" w:hAnsi="Arial" w:cs="Arial"/>
          <w:color w:val="000000"/>
          <w:sz w:val="22"/>
          <w:szCs w:val="22"/>
        </w:rPr>
        <w:t>Partindo-se do Plano Legal para o prático, há no Brasil diversos</w:t>
      </w:r>
      <w:r w:rsidRPr="00FD62A0">
        <w:rPr>
          <w:rFonts w:ascii="Arial" w:hAnsi="Arial" w:cs="Arial"/>
          <w:sz w:val="22"/>
          <w:szCs w:val="22"/>
        </w:rPr>
        <w:t xml:space="preserve"> mecanismos que vem sendo instituídos com sucesso. Entre os mais recentes, merecem destaque a CPI sobre a violência sexual contra crianças e adolescentes no Brasil, a criação da Lei nº 9970/00 institui o dia 18 de abril como o dia nacional de combate ao abuso e à exploração sexual de crianças e adolescentes no Brasil e a institucionalização do Disque 100 como política pública.</w:t>
      </w:r>
    </w:p>
    <w:p w:rsidR="00FB0942" w:rsidRPr="00FD62A0" w:rsidRDefault="00FB0942" w:rsidP="00BF4427">
      <w:pPr>
        <w:autoSpaceDE w:val="0"/>
        <w:autoSpaceDN w:val="0"/>
        <w:adjustRightInd w:val="0"/>
        <w:spacing w:line="360" w:lineRule="auto"/>
        <w:ind w:firstLine="720"/>
        <w:jc w:val="both"/>
        <w:rPr>
          <w:rFonts w:ascii="Arial" w:hAnsi="Arial" w:cs="Arial"/>
          <w:sz w:val="22"/>
          <w:szCs w:val="22"/>
        </w:rPr>
      </w:pPr>
      <w:r w:rsidRPr="00FD62A0">
        <w:rPr>
          <w:rFonts w:ascii="Arial" w:hAnsi="Arial" w:cs="Arial"/>
          <w:sz w:val="22"/>
          <w:szCs w:val="22"/>
        </w:rPr>
        <w:t xml:space="preserve">O Disque Denúncia Nacional de Abuso e Exploração Sexual Contra Crianças e Adolescentes - Disque 100, é vinculado ao Programa Nacional de Enfrentamento à Violência Sexual, sendo coordenado pela Secretaria Especial dos Direitos Humanos.  Foi </w:t>
      </w:r>
      <w:r w:rsidRPr="00FD62A0">
        <w:rPr>
          <w:rFonts w:ascii="Arial" w:hAnsi="Arial" w:cs="Arial"/>
          <w:sz w:val="22"/>
          <w:szCs w:val="22"/>
        </w:rPr>
        <w:lastRenderedPageBreak/>
        <w:t xml:space="preserve">criado em 1997, e instituído pelo Poder Executivo em 2003, com o intuito de estabelecer um canal de denúncia para a sociedade, permitindo que as denúncias, tanto de violência sexual quanto de outras formas de violência, sejam recebidas e encaminhadas aos órgãos competentes. </w:t>
      </w:r>
      <w:r w:rsidR="008074A3" w:rsidRPr="00FD62A0">
        <w:rPr>
          <w:rFonts w:ascii="Arial" w:hAnsi="Arial" w:cs="Arial"/>
          <w:sz w:val="22"/>
          <w:szCs w:val="22"/>
        </w:rPr>
        <w:t>(Cartilha Disque 100)</w:t>
      </w:r>
    </w:p>
    <w:p w:rsidR="00FB0942" w:rsidRPr="00FD62A0" w:rsidRDefault="00FB0942" w:rsidP="00BF4427">
      <w:pPr>
        <w:autoSpaceDE w:val="0"/>
        <w:autoSpaceDN w:val="0"/>
        <w:adjustRightInd w:val="0"/>
        <w:spacing w:line="360" w:lineRule="auto"/>
        <w:ind w:firstLine="720"/>
        <w:jc w:val="both"/>
        <w:rPr>
          <w:rFonts w:ascii="Arial" w:hAnsi="Arial" w:cs="Arial"/>
          <w:sz w:val="22"/>
          <w:szCs w:val="22"/>
        </w:rPr>
      </w:pPr>
      <w:r w:rsidRPr="00FD62A0">
        <w:rPr>
          <w:rFonts w:ascii="Arial" w:hAnsi="Arial" w:cs="Arial"/>
          <w:sz w:val="22"/>
          <w:szCs w:val="22"/>
        </w:rPr>
        <w:t>Este mecanismo funciona não apenas no acolhimento e encaminhamento de denúncias. O combate aos maus tratos segue por meio de atividades como orientações sobre denúncias de desaparecimento, fornecimento de dados que são subsídios para posteriores políticas públicas, realização de campanhas de mobilização, entre outras. O instrumento, além de atuar no combate a este mal, serve ainda como aglomerante de estatísticas, que permitem auxiliar no desenho da realidade do país. Conhecendo-se melhor o problema, torna-se possível o desenvolvimento de políticas públicas cada vez mais direcionadas. (</w:t>
      </w:r>
      <w:r w:rsidR="008074A3" w:rsidRPr="00FD62A0">
        <w:rPr>
          <w:rFonts w:ascii="Arial" w:hAnsi="Arial" w:cs="Arial"/>
          <w:sz w:val="22"/>
          <w:szCs w:val="22"/>
        </w:rPr>
        <w:t>C</w:t>
      </w:r>
      <w:r w:rsidRPr="00FD62A0">
        <w:rPr>
          <w:rFonts w:ascii="Arial" w:hAnsi="Arial" w:cs="Arial"/>
          <w:sz w:val="22"/>
          <w:szCs w:val="22"/>
        </w:rPr>
        <w:t xml:space="preserve">artilha </w:t>
      </w:r>
      <w:r w:rsidR="008074A3" w:rsidRPr="00FD62A0">
        <w:rPr>
          <w:rFonts w:ascii="Arial" w:hAnsi="Arial" w:cs="Arial"/>
          <w:sz w:val="22"/>
          <w:szCs w:val="22"/>
        </w:rPr>
        <w:t>D</w:t>
      </w:r>
      <w:r w:rsidRPr="00FD62A0">
        <w:rPr>
          <w:rFonts w:ascii="Arial" w:hAnsi="Arial" w:cs="Arial"/>
          <w:sz w:val="22"/>
          <w:szCs w:val="22"/>
        </w:rPr>
        <w:t>isque 100)</w:t>
      </w:r>
    </w:p>
    <w:p w:rsidR="008074A3" w:rsidRPr="00FD62A0" w:rsidRDefault="00FB0942" w:rsidP="00BF4427">
      <w:pPr>
        <w:autoSpaceDE w:val="0"/>
        <w:autoSpaceDN w:val="0"/>
        <w:adjustRightInd w:val="0"/>
        <w:spacing w:line="360" w:lineRule="auto"/>
        <w:ind w:firstLine="720"/>
        <w:jc w:val="both"/>
        <w:rPr>
          <w:rFonts w:ascii="Arial" w:hAnsi="Arial" w:cs="Arial"/>
          <w:sz w:val="22"/>
          <w:szCs w:val="22"/>
        </w:rPr>
      </w:pPr>
      <w:r w:rsidRPr="00FD62A0">
        <w:rPr>
          <w:rFonts w:ascii="Arial" w:hAnsi="Arial" w:cs="Arial"/>
          <w:sz w:val="22"/>
          <w:szCs w:val="22"/>
        </w:rPr>
        <w:t>No que se refere às denúncias, o processo se dá em três fases: registro da denúncia e orientação sobre a mesma; encaminhamento para os órgãos competentes de proteção e responsabilização; e monitoramento dos resultados da denúncia, como as providências tomadas, a responsabilização. Duas características colaboram para o sucesso deste mecanismo: a agilidade – as denúncias são encaminhadas aos órgãos competentes em até 24 horas, e o anonimato do denunciante – tendo a identidade em sigilo, o número de processos aumenta, pois amigos, parentes, vizinhos ou conhecidos sentem-se seguros ao denunciar sem tor</w:t>
      </w:r>
      <w:r w:rsidR="008074A3" w:rsidRPr="00FD62A0">
        <w:rPr>
          <w:rFonts w:ascii="Arial" w:hAnsi="Arial" w:cs="Arial"/>
          <w:sz w:val="22"/>
          <w:szCs w:val="22"/>
        </w:rPr>
        <w:t>narem-se visados pelo acusado. (Cartilha Disque 100)</w:t>
      </w:r>
    </w:p>
    <w:p w:rsidR="00FB0942" w:rsidRPr="00FD62A0" w:rsidRDefault="00FB0942" w:rsidP="00BF4427">
      <w:pPr>
        <w:autoSpaceDE w:val="0"/>
        <w:autoSpaceDN w:val="0"/>
        <w:adjustRightInd w:val="0"/>
        <w:spacing w:line="360" w:lineRule="auto"/>
        <w:ind w:firstLine="720"/>
        <w:jc w:val="both"/>
        <w:rPr>
          <w:rFonts w:ascii="Arial" w:hAnsi="Arial" w:cs="Arial"/>
          <w:sz w:val="22"/>
          <w:szCs w:val="22"/>
        </w:rPr>
      </w:pPr>
      <w:r w:rsidRPr="00FD62A0">
        <w:rPr>
          <w:rFonts w:ascii="Arial" w:hAnsi="Arial" w:cs="Arial"/>
          <w:sz w:val="22"/>
          <w:szCs w:val="22"/>
        </w:rPr>
        <w:t>Tais iniciativas tiveram a força de alterar os níveis de mobilização e conscientização da sociedade civil, governo, entidades privadas, entre outras instituições. A partir de então, surgiram novos esforços no intuito de divulgar, prevenir e combater este problema, assim como tornou-se necessário criar um escopo jurídico que permitisse responsabilizar os agressores. (Ministério da Justiça, 2002)</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É neste cenário que em 2002 é estabelecido o Plano Nacional de Enfrentamento da Violência Sexual </w:t>
      </w:r>
      <w:r w:rsidR="00A85E06">
        <w:rPr>
          <w:rFonts w:ascii="Arial" w:hAnsi="Arial" w:cs="Arial"/>
          <w:sz w:val="22"/>
          <w:szCs w:val="22"/>
        </w:rPr>
        <w:t>Infantojuvenil</w:t>
      </w:r>
      <w:r w:rsidRPr="00FD62A0">
        <w:rPr>
          <w:rFonts w:ascii="Arial" w:hAnsi="Arial" w:cs="Arial"/>
          <w:sz w:val="22"/>
          <w:szCs w:val="22"/>
        </w:rPr>
        <w:t>. O Plano é pautado por diversos objetivos, a saber:</w:t>
      </w:r>
    </w:p>
    <w:p w:rsidR="00FB0942" w:rsidRPr="00CD409D" w:rsidRDefault="00FB0942" w:rsidP="00BF4427">
      <w:pPr>
        <w:autoSpaceDE w:val="0"/>
        <w:autoSpaceDN w:val="0"/>
        <w:adjustRightInd w:val="0"/>
        <w:spacing w:line="360" w:lineRule="auto"/>
        <w:ind w:left="709"/>
        <w:jc w:val="both"/>
        <w:rPr>
          <w:rFonts w:ascii="Arial" w:hAnsi="Arial" w:cs="Arial"/>
          <w:color w:val="292526"/>
          <w:sz w:val="20"/>
          <w:szCs w:val="20"/>
        </w:rPr>
      </w:pPr>
      <w:r w:rsidRPr="00CD409D">
        <w:rPr>
          <w:rFonts w:ascii="Arial" w:hAnsi="Arial" w:cs="Arial"/>
          <w:color w:val="292526"/>
          <w:sz w:val="20"/>
          <w:szCs w:val="20"/>
        </w:rPr>
        <w:t>- Realizar investigação científica, visando compreender, analisar, subsidiar e monitorar o planejamento e a execução das ações de enfrentamento da violência sexual contra crianças e adolescentes.</w:t>
      </w:r>
    </w:p>
    <w:p w:rsidR="00FB0942" w:rsidRPr="00CD409D" w:rsidRDefault="00FB0942" w:rsidP="00BF4427">
      <w:pPr>
        <w:autoSpaceDE w:val="0"/>
        <w:autoSpaceDN w:val="0"/>
        <w:adjustRightInd w:val="0"/>
        <w:spacing w:line="360" w:lineRule="auto"/>
        <w:ind w:left="709"/>
        <w:jc w:val="both"/>
        <w:rPr>
          <w:rFonts w:ascii="Arial" w:hAnsi="Arial" w:cs="Arial"/>
          <w:color w:val="292526"/>
          <w:sz w:val="20"/>
          <w:szCs w:val="20"/>
        </w:rPr>
      </w:pPr>
      <w:r w:rsidRPr="00CD409D">
        <w:rPr>
          <w:rFonts w:ascii="Arial" w:hAnsi="Arial" w:cs="Arial"/>
          <w:color w:val="292526"/>
          <w:sz w:val="20"/>
          <w:szCs w:val="20"/>
        </w:rPr>
        <w:t>- Garantir o atendimento especializado às crianças e aos adolescentes em situação de violência sexual consumada.</w:t>
      </w:r>
    </w:p>
    <w:p w:rsidR="00FB0942" w:rsidRPr="00CD409D" w:rsidRDefault="00FB0942" w:rsidP="00BF4427">
      <w:pPr>
        <w:autoSpaceDE w:val="0"/>
        <w:autoSpaceDN w:val="0"/>
        <w:adjustRightInd w:val="0"/>
        <w:spacing w:line="360" w:lineRule="auto"/>
        <w:ind w:left="709"/>
        <w:jc w:val="both"/>
        <w:rPr>
          <w:rFonts w:ascii="Arial" w:hAnsi="Arial" w:cs="Arial"/>
          <w:color w:val="292526"/>
          <w:sz w:val="20"/>
          <w:szCs w:val="20"/>
        </w:rPr>
      </w:pPr>
      <w:r w:rsidRPr="00CD409D">
        <w:rPr>
          <w:rFonts w:ascii="Arial" w:hAnsi="Arial" w:cs="Arial"/>
          <w:color w:val="292526"/>
          <w:sz w:val="20"/>
          <w:szCs w:val="20"/>
        </w:rPr>
        <w:t>- Promover ações de prevenção, articulação e mobilização, visando o fim da violência sexual.</w:t>
      </w:r>
    </w:p>
    <w:p w:rsidR="00FB0942" w:rsidRPr="00CD409D" w:rsidRDefault="00FB0942" w:rsidP="00BF4427">
      <w:pPr>
        <w:autoSpaceDE w:val="0"/>
        <w:autoSpaceDN w:val="0"/>
        <w:adjustRightInd w:val="0"/>
        <w:spacing w:line="360" w:lineRule="auto"/>
        <w:ind w:left="709"/>
        <w:jc w:val="both"/>
        <w:rPr>
          <w:rFonts w:ascii="Arial" w:hAnsi="Arial" w:cs="Arial"/>
          <w:color w:val="292526"/>
          <w:sz w:val="20"/>
          <w:szCs w:val="20"/>
        </w:rPr>
      </w:pPr>
      <w:r w:rsidRPr="00CD409D">
        <w:rPr>
          <w:rFonts w:ascii="Arial" w:hAnsi="Arial" w:cs="Arial"/>
          <w:color w:val="292526"/>
          <w:sz w:val="20"/>
          <w:szCs w:val="20"/>
        </w:rPr>
        <w:t>- Fortalecer o sistema de defesa e de responsabilização.</w:t>
      </w:r>
    </w:p>
    <w:p w:rsidR="00FB0942" w:rsidRPr="00CD409D" w:rsidRDefault="00FB0942" w:rsidP="00BF4427">
      <w:pPr>
        <w:autoSpaceDE w:val="0"/>
        <w:autoSpaceDN w:val="0"/>
        <w:adjustRightInd w:val="0"/>
        <w:spacing w:line="360" w:lineRule="auto"/>
        <w:ind w:left="709"/>
        <w:jc w:val="both"/>
        <w:rPr>
          <w:rFonts w:ascii="Arial" w:hAnsi="Arial" w:cs="Arial"/>
          <w:color w:val="292526"/>
          <w:sz w:val="20"/>
          <w:szCs w:val="20"/>
        </w:rPr>
      </w:pPr>
      <w:r w:rsidRPr="00CD409D">
        <w:rPr>
          <w:rFonts w:ascii="Arial" w:hAnsi="Arial" w:cs="Arial"/>
          <w:color w:val="292526"/>
          <w:sz w:val="20"/>
          <w:szCs w:val="20"/>
        </w:rPr>
        <w:t xml:space="preserve">- Fortalecer o protagonismo </w:t>
      </w:r>
      <w:r w:rsidR="00A85E06">
        <w:rPr>
          <w:rFonts w:ascii="Arial" w:hAnsi="Arial" w:cs="Arial"/>
          <w:color w:val="292526"/>
          <w:sz w:val="20"/>
          <w:szCs w:val="20"/>
        </w:rPr>
        <w:t>Infantojuvenil</w:t>
      </w:r>
      <w:r w:rsidRPr="00CD409D">
        <w:rPr>
          <w:rFonts w:ascii="Arial" w:hAnsi="Arial" w:cs="Arial"/>
          <w:color w:val="292526"/>
          <w:sz w:val="20"/>
          <w:szCs w:val="20"/>
        </w:rPr>
        <w:t>.</w:t>
      </w:r>
    </w:p>
    <w:p w:rsidR="00FB0942" w:rsidRPr="00CD409D" w:rsidRDefault="00FB0942" w:rsidP="00BF4427">
      <w:pPr>
        <w:autoSpaceDE w:val="0"/>
        <w:autoSpaceDN w:val="0"/>
        <w:adjustRightInd w:val="0"/>
        <w:spacing w:line="360" w:lineRule="auto"/>
        <w:ind w:left="709"/>
        <w:jc w:val="both"/>
        <w:rPr>
          <w:rFonts w:ascii="Arial" w:hAnsi="Arial" w:cs="Arial"/>
          <w:color w:val="292526"/>
          <w:sz w:val="20"/>
          <w:szCs w:val="20"/>
        </w:rPr>
      </w:pPr>
      <w:r w:rsidRPr="00CD409D">
        <w:rPr>
          <w:rFonts w:ascii="Arial" w:hAnsi="Arial" w:cs="Arial"/>
          <w:color w:val="292526"/>
          <w:sz w:val="20"/>
          <w:szCs w:val="20"/>
        </w:rPr>
        <w:lastRenderedPageBreak/>
        <w:t>(Ministério da Justiça, 2002)</w:t>
      </w:r>
    </w:p>
    <w:p w:rsidR="00FB0942" w:rsidRPr="00FD62A0" w:rsidRDefault="00FB0942" w:rsidP="00BF4427">
      <w:pPr>
        <w:autoSpaceDE w:val="0"/>
        <w:autoSpaceDN w:val="0"/>
        <w:adjustRightInd w:val="0"/>
        <w:spacing w:line="360" w:lineRule="auto"/>
        <w:ind w:firstLine="708"/>
        <w:jc w:val="both"/>
        <w:rPr>
          <w:rFonts w:ascii="Arial" w:hAnsi="Arial" w:cs="Arial"/>
          <w:sz w:val="22"/>
          <w:szCs w:val="22"/>
        </w:rPr>
      </w:pPr>
      <w:r w:rsidRPr="00FD62A0">
        <w:rPr>
          <w:rFonts w:ascii="Arial" w:hAnsi="Arial" w:cs="Arial"/>
          <w:sz w:val="22"/>
          <w:szCs w:val="22"/>
        </w:rPr>
        <w:t xml:space="preserve">Entre os eixos estratégicos, voltados à ação em si, o Plano é permeado por seis frentes: análise da situação, mobilização e articulação, defesa e responsabilização, atendimento, prevenção, e protagonismo </w:t>
      </w:r>
      <w:r w:rsidR="00A85E06">
        <w:rPr>
          <w:rFonts w:ascii="Arial" w:hAnsi="Arial" w:cs="Arial"/>
          <w:sz w:val="22"/>
          <w:szCs w:val="22"/>
        </w:rPr>
        <w:t>infantojuvenil</w:t>
      </w:r>
      <w:r w:rsidRPr="00FD62A0">
        <w:rPr>
          <w:rFonts w:ascii="Arial" w:hAnsi="Arial" w:cs="Arial"/>
          <w:sz w:val="22"/>
          <w:szCs w:val="22"/>
        </w:rPr>
        <w:t>.</w:t>
      </w:r>
    </w:p>
    <w:p w:rsidR="00FB0942" w:rsidRPr="00FD62A0" w:rsidRDefault="00FB0942" w:rsidP="00BF4427">
      <w:pPr>
        <w:spacing w:line="360" w:lineRule="auto"/>
        <w:ind w:firstLine="708"/>
        <w:jc w:val="both"/>
        <w:rPr>
          <w:rFonts w:ascii="Arial" w:hAnsi="Arial" w:cs="Arial"/>
          <w:sz w:val="22"/>
          <w:szCs w:val="22"/>
        </w:rPr>
      </w:pPr>
      <w:r w:rsidRPr="00FD62A0">
        <w:rPr>
          <w:rFonts w:ascii="Arial" w:hAnsi="Arial" w:cs="Arial"/>
          <w:sz w:val="22"/>
          <w:szCs w:val="22"/>
        </w:rPr>
        <w:t>Focando-se especificamente em Fortaleza, a cidade vem se tornando referência nacional no combate ao problema, apesar do cenário desfavorável ao combate da exploração sexual, e em contraste à realidade da maioria das cidades vitimadas por essa situação. Entre as principais iniciativas destacam-se:</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 o Fórum Cearense de Enfrentamento à violência sexual de crianças e adolescentes;</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 a Coordenadoria de enfrentamento à violência sexual de crianças e adolescentes, ligada à Fundação da Criança e da Família Cidadã;</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 a capacitação de profissionais para atendimento às vítimas; entre outras.</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Apesar das iniciativas supramencionadas, existe o consenso de que as metodologias e estratégias desenvolvidas não têm sido efetivas, no sentido de causar impacto real sobre a população. Isto ocorre porque elas focam no combate ao problema da exploração em si, quando na realidade a necessidade é que se desenvolvam políticas públicas que alterem o cenário em que a exploração acontece.</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 xml:space="preserve">Apresenta-se como questão crítica aos governantes desenvolver políticas que estimulem o crescimento econômico, sem preterir as políticas de cunho social, voltadas à melhoria de qualidade de vida da sociedade. </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Acerca deste tema, em 2005 foi publicado estudo nomeado Matriz Intersetorial de enfrentamento da exploração sexual comercial de crianças e adolescentes, com a finalidade de oferecer subsídios aos formuladores de políticas públicas no combate ao problema no Brasil. Para possibilitar tal estudo, foi feita parceria entre a Secretaria Especial de Direitos Humanos – SEDH, o Fundo das Nações Unidas para a Infância – UNICEF, a Comissão Intersetorial de enfrentamento do Abuso e Exploração Sexual de crianças e adolescentes, assim como do grupo Violes da Universidade de Brasília – UnB.</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O estudo foca na apresentação de dados sobre a exploração sexual pelo Brasil, os projetos/programas Federais e municipais, além daqueles desenvolvidos no âmbito das entidades privadas, como ONGs nacionais e internacionais. No quesito dos programas, a Matriz os divide em cinco tipos distintos:</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 ações de massa: programas com capacidade de atendimento em larga escala;</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 ações referenciais: programas que desenvolvem metodologias que geram boas práticas;</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 ações complementares: programas que, com suas ações, dão sentido complementar e necessário à outras iniciativas;</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 ações afirmativas: programas que visam a promoção da igualdade racial, de gênero, entre outros; e</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lastRenderedPageBreak/>
        <w:t>- ações estruturantes: programas direcionados à geração de renda, emprego e profissionalização.</w:t>
      </w:r>
    </w:p>
    <w:p w:rsidR="00FB0942" w:rsidRPr="00FD62A0" w:rsidRDefault="00FB0942" w:rsidP="00BF4427">
      <w:pPr>
        <w:spacing w:line="360" w:lineRule="auto"/>
        <w:jc w:val="both"/>
        <w:rPr>
          <w:rFonts w:ascii="Arial" w:hAnsi="Arial" w:cs="Arial"/>
          <w:sz w:val="22"/>
          <w:szCs w:val="22"/>
        </w:rPr>
      </w:pPr>
      <w:r w:rsidRPr="00FD62A0">
        <w:rPr>
          <w:rFonts w:ascii="Arial" w:hAnsi="Arial" w:cs="Arial"/>
          <w:sz w:val="22"/>
          <w:szCs w:val="22"/>
        </w:rPr>
        <w:tab/>
        <w:t>Em consonância com a realidade na</w:t>
      </w:r>
      <w:r w:rsidR="006818BC" w:rsidRPr="00FD62A0">
        <w:rPr>
          <w:rFonts w:ascii="Arial" w:hAnsi="Arial" w:cs="Arial"/>
          <w:sz w:val="22"/>
          <w:szCs w:val="22"/>
        </w:rPr>
        <w:t>cional, e com a ide</w:t>
      </w:r>
      <w:r w:rsidRPr="00FD62A0">
        <w:rPr>
          <w:rFonts w:ascii="Arial" w:hAnsi="Arial" w:cs="Arial"/>
          <w:sz w:val="22"/>
          <w:szCs w:val="22"/>
        </w:rPr>
        <w:t xml:space="preserve">ia de rede de proteção, apresenta-se a necessidade de que sejam desenvolvidos projetos e parcerias para tentar inicialmente amenizar, e posteriormente erradicar o problema da exploração sexual </w:t>
      </w:r>
      <w:r w:rsidR="00A85E06">
        <w:rPr>
          <w:rFonts w:ascii="Arial" w:hAnsi="Arial" w:cs="Arial"/>
          <w:sz w:val="22"/>
          <w:szCs w:val="22"/>
        </w:rPr>
        <w:t>infantojuvenil</w:t>
      </w:r>
      <w:r w:rsidRPr="00FD62A0">
        <w:rPr>
          <w:rFonts w:ascii="Arial" w:hAnsi="Arial" w:cs="Arial"/>
          <w:sz w:val="22"/>
          <w:szCs w:val="22"/>
        </w:rPr>
        <w:t xml:space="preserve">. No escopo desses trabalhos, foram selecionados para análise os projetos </w:t>
      </w:r>
      <w:r w:rsidR="00C02187" w:rsidRPr="00FD62A0">
        <w:rPr>
          <w:rFonts w:ascii="Arial" w:hAnsi="Arial" w:cs="Arial"/>
          <w:sz w:val="22"/>
          <w:szCs w:val="22"/>
        </w:rPr>
        <w:t>ViraVida</w:t>
      </w:r>
      <w:r w:rsidRPr="00FD62A0">
        <w:rPr>
          <w:rFonts w:ascii="Arial" w:hAnsi="Arial" w:cs="Arial"/>
          <w:sz w:val="22"/>
          <w:szCs w:val="22"/>
        </w:rPr>
        <w:t xml:space="preserve"> e Turismo Sustentável e Infância, devido à sua estrutura e alcance.</w:t>
      </w:r>
    </w:p>
    <w:p w:rsidR="00FB0942" w:rsidRPr="00FD62A0" w:rsidRDefault="00FB0942" w:rsidP="00BF4427">
      <w:pPr>
        <w:spacing w:line="360" w:lineRule="auto"/>
        <w:jc w:val="both"/>
        <w:rPr>
          <w:rFonts w:ascii="Arial" w:hAnsi="Arial" w:cs="Arial"/>
          <w:sz w:val="22"/>
          <w:szCs w:val="22"/>
        </w:rPr>
      </w:pPr>
    </w:p>
    <w:p w:rsidR="00CC7F2C" w:rsidRPr="00FD62A0" w:rsidRDefault="00CC7F2C" w:rsidP="00BF4427">
      <w:pPr>
        <w:spacing w:line="360" w:lineRule="auto"/>
        <w:jc w:val="both"/>
        <w:rPr>
          <w:rFonts w:ascii="Arial" w:hAnsi="Arial" w:cs="Arial"/>
          <w:sz w:val="22"/>
          <w:szCs w:val="22"/>
        </w:rPr>
        <w:sectPr w:rsidR="00CC7F2C" w:rsidRPr="00FD62A0" w:rsidSect="00366370">
          <w:footnotePr>
            <w:numRestart w:val="eachSect"/>
          </w:footnotePr>
          <w:pgSz w:w="11906" w:h="16838"/>
          <w:pgMar w:top="1474" w:right="1474" w:bottom="1474" w:left="1474" w:header="709" w:footer="709" w:gutter="0"/>
          <w:cols w:space="708"/>
          <w:docGrid w:linePitch="360"/>
        </w:sectPr>
      </w:pPr>
    </w:p>
    <w:p w:rsidR="009F0C25" w:rsidRPr="00FD62A0" w:rsidRDefault="006B7B8F" w:rsidP="00CF6DF3">
      <w:pPr>
        <w:autoSpaceDE w:val="0"/>
        <w:autoSpaceDN w:val="0"/>
        <w:adjustRightInd w:val="0"/>
        <w:spacing w:line="360" w:lineRule="auto"/>
        <w:jc w:val="both"/>
        <w:rPr>
          <w:rFonts w:ascii="Arial" w:hAnsi="Arial" w:cs="Arial"/>
          <w:sz w:val="22"/>
          <w:szCs w:val="22"/>
          <w:lang/>
        </w:rPr>
      </w:pPr>
      <w:r w:rsidRPr="00FD62A0">
        <w:rPr>
          <w:rFonts w:ascii="Arial" w:hAnsi="Arial" w:cs="Arial"/>
          <w:b/>
          <w:sz w:val="22"/>
          <w:szCs w:val="22"/>
          <w:lang/>
        </w:rPr>
        <w:lastRenderedPageBreak/>
        <w:br w:type="page"/>
      </w:r>
      <w:r w:rsidR="00CF6DF3" w:rsidRPr="00FD62A0">
        <w:rPr>
          <w:rFonts w:ascii="Arial" w:hAnsi="Arial" w:cs="Arial"/>
          <w:b/>
          <w:sz w:val="22"/>
          <w:szCs w:val="22"/>
          <w:lang/>
        </w:rPr>
        <w:lastRenderedPageBreak/>
        <w:t>CAPÍTULO IV – PROJETOS DE REFERÊNCIA: VIRAVIDA E TURISMO SUSTENTÁVEL E INFÂNCIA</w:t>
      </w:r>
    </w:p>
    <w:p w:rsidR="009F0C25" w:rsidRPr="00FD62A0" w:rsidRDefault="009F0C25" w:rsidP="00BF4427">
      <w:pPr>
        <w:autoSpaceDE w:val="0"/>
        <w:autoSpaceDN w:val="0"/>
        <w:adjustRightInd w:val="0"/>
        <w:spacing w:line="360" w:lineRule="auto"/>
        <w:ind w:left="4253"/>
        <w:jc w:val="both"/>
        <w:rPr>
          <w:rFonts w:ascii="Arial" w:hAnsi="Arial" w:cs="Arial"/>
          <w:sz w:val="22"/>
          <w:szCs w:val="22"/>
          <w:lang/>
        </w:rPr>
      </w:pPr>
    </w:p>
    <w:p w:rsidR="009F0C25" w:rsidRPr="00CD409D" w:rsidRDefault="009F0C25" w:rsidP="00BF4427">
      <w:pPr>
        <w:autoSpaceDE w:val="0"/>
        <w:autoSpaceDN w:val="0"/>
        <w:adjustRightInd w:val="0"/>
        <w:spacing w:line="360" w:lineRule="auto"/>
        <w:ind w:left="4253"/>
        <w:jc w:val="both"/>
        <w:rPr>
          <w:rFonts w:ascii="TTE169FD78t00" w:hAnsi="TTE169FD78t00" w:cs="TTE169FD78t00"/>
          <w:sz w:val="20"/>
          <w:szCs w:val="20"/>
          <w:lang/>
        </w:rPr>
      </w:pPr>
      <w:r w:rsidRPr="00CD409D">
        <w:rPr>
          <w:rFonts w:ascii="TTE169FD78t00" w:hAnsi="TTE169FD78t00" w:cs="TTE169FD78t00"/>
          <w:sz w:val="20"/>
          <w:szCs w:val="20"/>
          <w:lang/>
        </w:rPr>
        <w:t>Artigo 227</w:t>
      </w:r>
    </w:p>
    <w:p w:rsidR="009F0C25" w:rsidRPr="00CD409D" w:rsidRDefault="009F0C25" w:rsidP="00CF6DF3">
      <w:pPr>
        <w:autoSpaceDE w:val="0"/>
        <w:autoSpaceDN w:val="0"/>
        <w:adjustRightInd w:val="0"/>
        <w:spacing w:line="360" w:lineRule="auto"/>
        <w:ind w:left="4253"/>
        <w:jc w:val="both"/>
        <w:rPr>
          <w:rFonts w:ascii="TTE169FD78t00" w:hAnsi="TTE169FD78t00" w:cs="TTE169FD78t00"/>
          <w:sz w:val="20"/>
          <w:szCs w:val="20"/>
          <w:lang/>
        </w:rPr>
      </w:pPr>
      <w:r w:rsidRPr="00CD409D">
        <w:rPr>
          <w:rFonts w:ascii="TTE169FD78t00" w:hAnsi="TTE169FD78t00" w:cs="TTE169FD78t00"/>
          <w:sz w:val="20"/>
          <w:szCs w:val="20"/>
          <w:lang/>
        </w:rPr>
        <w:t>[...]é dever da família, da sociedade e do Estado assegurar à criança e ao adolescente, com absoluta prioridade, o direito à vida, à saúde, à alimentação, à educação, ao lazer, à profissionalização, à cultura, à dignidade, ao respeito, à liberdade e à convivência familiar e comunitária, além de colocá-los a salvo de toda forma de negligência, discriminação, exploração, violência, crueldade e opressão.</w:t>
      </w:r>
    </w:p>
    <w:p w:rsidR="009F0C25" w:rsidRPr="00CD409D" w:rsidRDefault="009F0C25" w:rsidP="00BF4427">
      <w:pPr>
        <w:autoSpaceDE w:val="0"/>
        <w:autoSpaceDN w:val="0"/>
        <w:adjustRightInd w:val="0"/>
        <w:spacing w:line="360" w:lineRule="auto"/>
        <w:rPr>
          <w:rFonts w:ascii="TTE169FD78t00" w:hAnsi="TTE169FD78t00" w:cs="TTE169FD78t00"/>
          <w:sz w:val="20"/>
          <w:szCs w:val="20"/>
          <w:lang/>
        </w:rPr>
      </w:pPr>
      <w:r w:rsidRPr="00CD409D">
        <w:rPr>
          <w:rFonts w:ascii="TTE169FD78t00" w:hAnsi="TTE169FD78t00" w:cs="TTE169FD78t00"/>
          <w:sz w:val="20"/>
          <w:szCs w:val="20"/>
          <w:lang/>
        </w:rPr>
        <w:tab/>
      </w:r>
      <w:r w:rsidRPr="00CD409D">
        <w:rPr>
          <w:rFonts w:ascii="TTE169FD78t00" w:hAnsi="TTE169FD78t00" w:cs="TTE169FD78t00"/>
          <w:sz w:val="20"/>
          <w:szCs w:val="20"/>
          <w:lang/>
        </w:rPr>
        <w:tab/>
      </w:r>
      <w:r w:rsidRPr="00CD409D">
        <w:rPr>
          <w:rFonts w:ascii="TTE169FD78t00" w:hAnsi="TTE169FD78t00" w:cs="TTE169FD78t00"/>
          <w:sz w:val="20"/>
          <w:szCs w:val="20"/>
          <w:lang/>
        </w:rPr>
        <w:tab/>
      </w:r>
      <w:r w:rsidRPr="00CD409D">
        <w:rPr>
          <w:rFonts w:ascii="TTE169FD78t00" w:hAnsi="TTE169FD78t00" w:cs="TTE169FD78t00"/>
          <w:sz w:val="20"/>
          <w:szCs w:val="20"/>
          <w:lang/>
        </w:rPr>
        <w:tab/>
      </w:r>
      <w:r w:rsidRPr="00CD409D">
        <w:rPr>
          <w:rFonts w:ascii="TTE169FD78t00" w:hAnsi="TTE169FD78t00" w:cs="TTE169FD78t00"/>
          <w:sz w:val="20"/>
          <w:szCs w:val="20"/>
          <w:lang/>
        </w:rPr>
        <w:tab/>
      </w:r>
      <w:r w:rsidRPr="00CD409D">
        <w:rPr>
          <w:rFonts w:ascii="TTE169FD78t00" w:hAnsi="TTE169FD78t00" w:cs="TTE169FD78t00"/>
          <w:sz w:val="20"/>
          <w:szCs w:val="20"/>
          <w:lang/>
        </w:rPr>
        <w:tab/>
        <w:t>(Constituição Federal do Brasil, 1988)</w:t>
      </w:r>
    </w:p>
    <w:p w:rsidR="009F0C25" w:rsidRPr="00FD62A0" w:rsidRDefault="009F0C25" w:rsidP="00BF4427">
      <w:pPr>
        <w:autoSpaceDE w:val="0"/>
        <w:autoSpaceDN w:val="0"/>
        <w:adjustRightInd w:val="0"/>
        <w:spacing w:line="360" w:lineRule="auto"/>
        <w:rPr>
          <w:rFonts w:ascii="TTE169FD78t00" w:hAnsi="TTE169FD78t00" w:cs="TTE169FD78t00"/>
          <w:sz w:val="22"/>
          <w:szCs w:val="22"/>
          <w:lang/>
        </w:rPr>
      </w:pPr>
    </w:p>
    <w:p w:rsidR="00462536" w:rsidRPr="00FD62A0" w:rsidRDefault="00462536" w:rsidP="00BF4427">
      <w:pPr>
        <w:autoSpaceDE w:val="0"/>
        <w:autoSpaceDN w:val="0"/>
        <w:adjustRightInd w:val="0"/>
        <w:spacing w:line="360" w:lineRule="auto"/>
        <w:rPr>
          <w:rFonts w:ascii="TTE169FD78t00" w:hAnsi="TTE169FD78t00" w:cs="TTE169FD78t00"/>
          <w:sz w:val="22"/>
          <w:szCs w:val="22"/>
          <w:lang/>
        </w:rPr>
      </w:pPr>
    </w:p>
    <w:p w:rsidR="002C5F75" w:rsidRPr="00FD62A0" w:rsidRDefault="002C5F75" w:rsidP="002C5F75">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A utilização de parcerias público-privadas no Brasil tem se mostrado um caminho para a resolução, ou senão, amenização de problemas onde o setor público, por variados motivos, não pode atuar sozinho. </w:t>
      </w:r>
      <w:r w:rsidR="00BE4F09" w:rsidRPr="00FD62A0">
        <w:rPr>
          <w:rFonts w:ascii="Arial" w:hAnsi="Arial" w:cs="Arial"/>
          <w:sz w:val="22"/>
          <w:szCs w:val="22"/>
          <w:lang/>
        </w:rPr>
        <w:t>As parcerias têm sido</w:t>
      </w:r>
      <w:r w:rsidRPr="00FD62A0">
        <w:rPr>
          <w:rFonts w:ascii="Arial" w:hAnsi="Arial" w:cs="Arial"/>
          <w:sz w:val="22"/>
          <w:szCs w:val="22"/>
          <w:lang/>
        </w:rPr>
        <w:t xml:space="preserve"> utilizadas em questões de infra-estrutura como construção de estradas, escolas, hospitais e também em questões sociais, como é o caso da prevenção e combate à exploração sexual </w:t>
      </w:r>
      <w:r w:rsidR="00A85E06">
        <w:rPr>
          <w:rFonts w:ascii="Arial" w:hAnsi="Arial" w:cs="Arial"/>
          <w:sz w:val="22"/>
          <w:szCs w:val="22"/>
          <w:lang/>
        </w:rPr>
        <w:t>infantojuvenil</w:t>
      </w:r>
      <w:r w:rsidRPr="00FD62A0">
        <w:rPr>
          <w:rFonts w:ascii="Arial" w:hAnsi="Arial" w:cs="Arial"/>
          <w:sz w:val="22"/>
          <w:szCs w:val="22"/>
          <w:lang/>
        </w:rPr>
        <w:t>.</w:t>
      </w:r>
    </w:p>
    <w:p w:rsidR="002C5F75" w:rsidRPr="00FD62A0" w:rsidRDefault="002C5F75" w:rsidP="002C5F75">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Conforme verificado no decorrer do trabalho, a exploração sexual </w:t>
      </w:r>
      <w:r w:rsidR="00A85E06">
        <w:rPr>
          <w:rFonts w:ascii="Arial" w:hAnsi="Arial" w:cs="Arial"/>
          <w:sz w:val="22"/>
          <w:szCs w:val="22"/>
          <w:lang/>
        </w:rPr>
        <w:t>infantojuvenil</w:t>
      </w:r>
      <w:r w:rsidRPr="00FD62A0">
        <w:rPr>
          <w:rFonts w:ascii="Arial" w:hAnsi="Arial" w:cs="Arial"/>
          <w:sz w:val="22"/>
          <w:szCs w:val="22"/>
          <w:lang/>
        </w:rPr>
        <w:t xml:space="preserve"> tem sido um problema social a respeito do qual não se tem as exatas dimensões. Razões diversas levam as crianças e os jovens a não querer expor sua situação, fazendo com que os números nacionais sejam subestimados. Tal fato dificulta o combate, mas não o impede. </w:t>
      </w:r>
    </w:p>
    <w:p w:rsidR="009F0C25" w:rsidRPr="00FD62A0" w:rsidRDefault="009F0C25" w:rsidP="00462536">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Os que sofrem esta realidade tornam-se marginalizados da sociedade, por reflexos diversos. Muitos se inibem por sentimentos próprios, de vergonha, humilhação, medo, decorrentes do abuso. Outros tantos são excluídos por suas famílias e pela própria sociedade, que lhes imputam muitas vezes a característica de culpados pelo ocorrido, ou de mentirosos.</w:t>
      </w:r>
    </w:p>
    <w:p w:rsidR="009F0C25" w:rsidRPr="00FD62A0" w:rsidRDefault="009F0C25" w:rsidP="00BF4427">
      <w:pPr>
        <w:autoSpaceDE w:val="0"/>
        <w:autoSpaceDN w:val="0"/>
        <w:adjustRightInd w:val="0"/>
        <w:spacing w:line="360" w:lineRule="auto"/>
        <w:ind w:firstLine="720"/>
        <w:jc w:val="both"/>
        <w:rPr>
          <w:rFonts w:ascii="Arial" w:eastAsia="TimesNewRomanPSMT" w:hAnsi="Arial" w:cs="TimesNewRomanPSMT"/>
          <w:sz w:val="22"/>
          <w:szCs w:val="22"/>
        </w:rPr>
      </w:pPr>
      <w:r w:rsidRPr="00FD62A0">
        <w:rPr>
          <w:rFonts w:ascii="Arial" w:hAnsi="Arial" w:cs="Arial"/>
          <w:sz w:val="22"/>
          <w:szCs w:val="22"/>
          <w:lang/>
        </w:rPr>
        <w:t xml:space="preserve">Ao tratar de um problema social </w:t>
      </w:r>
      <w:r w:rsidRPr="00EC6AA7">
        <w:rPr>
          <w:rFonts w:ascii="Arial" w:hAnsi="Arial" w:cs="Arial"/>
          <w:sz w:val="22"/>
          <w:szCs w:val="22"/>
          <w:lang/>
        </w:rPr>
        <w:t>que exclu</w:t>
      </w:r>
      <w:r w:rsidR="00EC6AA7" w:rsidRPr="00EC6AA7">
        <w:rPr>
          <w:rFonts w:ascii="Arial" w:hAnsi="Arial" w:cs="Arial"/>
          <w:sz w:val="22"/>
          <w:szCs w:val="22"/>
          <w:lang/>
        </w:rPr>
        <w:t>i</w:t>
      </w:r>
      <w:r w:rsidRPr="00FD62A0">
        <w:rPr>
          <w:rFonts w:ascii="Arial" w:hAnsi="Arial" w:cs="Arial"/>
          <w:sz w:val="22"/>
          <w:szCs w:val="22"/>
          <w:lang/>
        </w:rPr>
        <w:t xml:space="preserve"> jovens e crianças da dinâmica social, cabe dizer que </w:t>
      </w:r>
      <w:r w:rsidR="00BE4F09" w:rsidRPr="00FD62A0">
        <w:rPr>
          <w:rFonts w:ascii="Arial" w:hAnsi="Arial" w:cs="Arial"/>
          <w:sz w:val="22"/>
          <w:szCs w:val="22"/>
          <w:lang/>
        </w:rPr>
        <w:t>estes projetos têm</w:t>
      </w:r>
      <w:r w:rsidRPr="00FD62A0">
        <w:rPr>
          <w:rFonts w:ascii="Arial" w:hAnsi="Arial" w:cs="Arial"/>
          <w:sz w:val="22"/>
          <w:szCs w:val="22"/>
          <w:lang/>
        </w:rPr>
        <w:t xml:space="preserve"> forte apelo de inclusão social. Por inclusão social, </w:t>
      </w:r>
      <w:r w:rsidRPr="00FD62A0">
        <w:rPr>
          <w:rFonts w:ascii="Arial" w:eastAsia="TimesNewRomanPSMT" w:hAnsi="Arial" w:cs="TimesNewRomanPSMT"/>
          <w:sz w:val="22"/>
          <w:szCs w:val="22"/>
        </w:rPr>
        <w:t>Romeu Kasumi Sassaki define:</w:t>
      </w:r>
    </w:p>
    <w:p w:rsidR="009F0C25" w:rsidRPr="00CD409D" w:rsidRDefault="009F0C25" w:rsidP="00BF4427">
      <w:pPr>
        <w:autoSpaceDE w:val="0"/>
        <w:autoSpaceDN w:val="0"/>
        <w:adjustRightInd w:val="0"/>
        <w:spacing w:line="360" w:lineRule="auto"/>
        <w:ind w:left="720"/>
        <w:jc w:val="both"/>
        <w:rPr>
          <w:rFonts w:ascii="Arial" w:eastAsia="TimesNewRomanPSMT" w:hAnsi="Arial" w:cs="Arial"/>
          <w:sz w:val="20"/>
          <w:szCs w:val="20"/>
        </w:rPr>
      </w:pPr>
      <w:r w:rsidRPr="00CD409D">
        <w:rPr>
          <w:rFonts w:ascii="Arial" w:eastAsia="TimesNewRomanPSMT" w:hAnsi="Arial" w:cs="Arial"/>
          <w:sz w:val="20"/>
          <w:szCs w:val="20"/>
        </w:rPr>
        <w:t>o processo pelo qual a sociedade se adapta para poder incluir, em seus sistemas sociais gerais, pessoas com necessidades especiais e, simultaneamente, estas se preparam para assumir seus papéis na sociedade. A “inclusão social” constitui, então, um processo bilateral no qual as pessoas, ainda excluídas, e a sociedade buscam, em parceria, equacionar problemas, decidir sobre soluções e efetivar a equiparação de oportunidade para todos.</w:t>
      </w:r>
    </w:p>
    <w:p w:rsidR="009F0C25" w:rsidRPr="00CD409D" w:rsidRDefault="009F0C25" w:rsidP="00BF4427">
      <w:pPr>
        <w:autoSpaceDE w:val="0"/>
        <w:autoSpaceDN w:val="0"/>
        <w:adjustRightInd w:val="0"/>
        <w:spacing w:line="360" w:lineRule="auto"/>
        <w:rPr>
          <w:rFonts w:ascii="Arial" w:eastAsia="TimesNewRomanPSMT" w:hAnsi="Arial" w:cs="Arial"/>
          <w:sz w:val="20"/>
          <w:szCs w:val="20"/>
        </w:rPr>
      </w:pPr>
      <w:r w:rsidRPr="00CD409D">
        <w:rPr>
          <w:rFonts w:ascii="Arial" w:eastAsia="TimesNewRomanPSMT" w:hAnsi="Arial" w:cs="Arial"/>
          <w:sz w:val="20"/>
          <w:szCs w:val="20"/>
        </w:rPr>
        <w:tab/>
      </w:r>
      <w:r w:rsidRPr="00CD409D">
        <w:rPr>
          <w:rFonts w:ascii="Arial" w:eastAsia="TimesNewRomanPSMT" w:hAnsi="Arial" w:cs="Arial"/>
          <w:sz w:val="20"/>
          <w:szCs w:val="20"/>
        </w:rPr>
        <w:tab/>
        <w:t>(Senado Federal, 2007)</w:t>
      </w:r>
    </w:p>
    <w:p w:rsidR="00162AC7" w:rsidRPr="00FD62A0" w:rsidRDefault="009F0C25" w:rsidP="00AA0231">
      <w:pPr>
        <w:autoSpaceDE w:val="0"/>
        <w:autoSpaceDN w:val="0"/>
        <w:adjustRightInd w:val="0"/>
        <w:spacing w:line="360" w:lineRule="auto"/>
        <w:ind w:firstLine="720"/>
        <w:jc w:val="both"/>
        <w:rPr>
          <w:rFonts w:ascii="Arial" w:hAnsi="Arial" w:cs="Arial"/>
          <w:sz w:val="22"/>
          <w:szCs w:val="22"/>
          <w:lang/>
        </w:rPr>
      </w:pPr>
      <w:r w:rsidRPr="00FD62A0">
        <w:rPr>
          <w:rFonts w:ascii="Arial" w:eastAsia="TimesNewRomanPSMT" w:hAnsi="Arial" w:cs="Arial"/>
          <w:sz w:val="22"/>
          <w:szCs w:val="22"/>
        </w:rPr>
        <w:lastRenderedPageBreak/>
        <w:t xml:space="preserve">Partindo da ideia do processo bilateral – indivíduo-sociedade e sociedade-indivíduo é que se desenvolvem os projetos </w:t>
      </w:r>
      <w:r w:rsidR="00162AC7" w:rsidRPr="00FD62A0">
        <w:rPr>
          <w:rFonts w:ascii="Arial" w:eastAsia="TimesNewRomanPSMT" w:hAnsi="Arial" w:cs="Arial"/>
          <w:sz w:val="22"/>
          <w:szCs w:val="22"/>
        </w:rPr>
        <w:t>de parceria</w:t>
      </w:r>
      <w:r w:rsidRPr="00FD62A0">
        <w:rPr>
          <w:rFonts w:ascii="Arial" w:eastAsia="TimesNewRomanPSMT" w:hAnsi="Arial" w:cs="Arial"/>
          <w:sz w:val="22"/>
          <w:szCs w:val="22"/>
        </w:rPr>
        <w:t xml:space="preserve">. </w:t>
      </w:r>
      <w:r w:rsidR="00162AC7" w:rsidRPr="00FD62A0">
        <w:rPr>
          <w:rFonts w:ascii="Arial" w:hAnsi="Arial" w:cs="Arial"/>
          <w:sz w:val="22"/>
          <w:szCs w:val="22"/>
          <w:lang/>
        </w:rPr>
        <w:t xml:space="preserve">No contexto de projetos de parceria público-privada que visem prevenir e combater a exploração sexual </w:t>
      </w:r>
      <w:r w:rsidR="00A85E06">
        <w:rPr>
          <w:rFonts w:ascii="Arial" w:hAnsi="Arial" w:cs="Arial"/>
          <w:sz w:val="22"/>
          <w:szCs w:val="22"/>
          <w:lang/>
        </w:rPr>
        <w:t>infantojuvenil</w:t>
      </w:r>
      <w:r w:rsidR="00162AC7" w:rsidRPr="00FD62A0">
        <w:rPr>
          <w:rFonts w:ascii="Arial" w:hAnsi="Arial" w:cs="Arial"/>
          <w:sz w:val="22"/>
          <w:szCs w:val="22"/>
          <w:lang/>
        </w:rPr>
        <w:t>,</w:t>
      </w:r>
      <w:r w:rsidR="00BE4F09">
        <w:rPr>
          <w:rFonts w:ascii="Arial" w:hAnsi="Arial" w:cs="Arial"/>
          <w:sz w:val="22"/>
          <w:szCs w:val="22"/>
          <w:lang/>
        </w:rPr>
        <w:t xml:space="preserve"> </w:t>
      </w:r>
      <w:r w:rsidR="00162AC7" w:rsidRPr="00FD62A0">
        <w:rPr>
          <w:rFonts w:ascii="Arial" w:hAnsi="Arial" w:cs="Arial"/>
          <w:sz w:val="22"/>
          <w:szCs w:val="22"/>
          <w:lang/>
        </w:rPr>
        <w:t>foram selecionados para estudo os projetos Vira</w:t>
      </w:r>
      <w:r w:rsidR="00BE4F09">
        <w:rPr>
          <w:rFonts w:ascii="Arial" w:hAnsi="Arial" w:cs="Arial"/>
          <w:sz w:val="22"/>
          <w:szCs w:val="22"/>
          <w:lang/>
        </w:rPr>
        <w:t>V</w:t>
      </w:r>
      <w:r w:rsidR="00162AC7" w:rsidRPr="00FD62A0">
        <w:rPr>
          <w:rFonts w:ascii="Arial" w:hAnsi="Arial" w:cs="Arial"/>
          <w:sz w:val="22"/>
          <w:szCs w:val="22"/>
          <w:lang/>
        </w:rPr>
        <w:t>ida e Turismo Sustentável e Infância.</w:t>
      </w:r>
      <w:r w:rsidR="00162AC7" w:rsidRPr="00FD62A0">
        <w:rPr>
          <w:rFonts w:ascii="Arial" w:eastAsia="TimesNewRomanPSMT" w:hAnsi="Arial" w:cs="Arial"/>
          <w:sz w:val="22"/>
          <w:szCs w:val="22"/>
        </w:rPr>
        <w:t xml:space="preserve"> Ambos buscam, através da educação e da capacitação profissional, assegurar às crianças e jovens novas oportunidades e novos rumos para o acolhimento na sociedade.</w:t>
      </w:r>
    </w:p>
    <w:p w:rsidR="00162AC7" w:rsidRPr="00FD62A0" w:rsidRDefault="00AA0231" w:rsidP="00BF4427">
      <w:pPr>
        <w:autoSpaceDE w:val="0"/>
        <w:autoSpaceDN w:val="0"/>
        <w:adjustRightInd w:val="0"/>
        <w:spacing w:line="360" w:lineRule="auto"/>
        <w:ind w:firstLine="720"/>
        <w:jc w:val="both"/>
        <w:rPr>
          <w:rFonts w:ascii="Arial" w:eastAsia="TimesNewRomanPSMT" w:hAnsi="Arial" w:cs="Arial"/>
          <w:sz w:val="22"/>
          <w:szCs w:val="22"/>
          <w:lang/>
        </w:rPr>
      </w:pPr>
      <w:r w:rsidRPr="00FD62A0">
        <w:rPr>
          <w:rFonts w:ascii="Arial" w:eastAsia="TimesNewRomanPSMT" w:hAnsi="Arial" w:cs="Arial"/>
          <w:sz w:val="22"/>
          <w:szCs w:val="22"/>
          <w:lang/>
        </w:rPr>
        <w:t>Tanto no caso do projeto ViraVida quanto no do Turismo Sustentável e Infância, os projetos são desenvolvidos por entidades principais, respectivamente SESI e Ministério do Turismo. No caso do ViraVida, o projeto é executado por várias instituições do Sistema S, que ficam a cargo dos cursos e no Turismo Sustentável e Infância, a execução fica a cargo do SENAC. Em ambos os casos, os parceiros externos atuam na fase de profissionalização, de aulas práticas e empregabilidade dos jovens.</w:t>
      </w:r>
    </w:p>
    <w:p w:rsidR="00AA0231" w:rsidRPr="00FD62A0" w:rsidRDefault="00AA0231" w:rsidP="00BF4427">
      <w:pPr>
        <w:autoSpaceDE w:val="0"/>
        <w:autoSpaceDN w:val="0"/>
        <w:adjustRightInd w:val="0"/>
        <w:spacing w:line="360" w:lineRule="auto"/>
        <w:ind w:firstLine="720"/>
        <w:jc w:val="both"/>
        <w:rPr>
          <w:rFonts w:ascii="Arial" w:eastAsia="TimesNewRomanPSMT" w:hAnsi="Arial" w:cs="Arial"/>
          <w:sz w:val="22"/>
          <w:szCs w:val="22"/>
          <w:lang/>
        </w:rPr>
      </w:pPr>
      <w:r w:rsidRPr="00FD62A0">
        <w:rPr>
          <w:rFonts w:ascii="Arial" w:eastAsia="TimesNewRomanPSMT" w:hAnsi="Arial" w:cs="Arial"/>
          <w:sz w:val="22"/>
          <w:szCs w:val="22"/>
          <w:lang/>
        </w:rPr>
        <w:t xml:space="preserve">Dessa forma, partindo dos conceitos de parceria, de integração entre setor público e privado na busca de soluções para uma questão específica e ainda, </w:t>
      </w:r>
      <w:r w:rsidR="00955602" w:rsidRPr="00FD62A0">
        <w:rPr>
          <w:rFonts w:ascii="Arial" w:eastAsia="TimesNewRomanPSMT" w:hAnsi="Arial" w:cs="Arial"/>
          <w:sz w:val="22"/>
          <w:szCs w:val="22"/>
          <w:lang/>
        </w:rPr>
        <w:t xml:space="preserve">com base no cenário nacional de exploração sexual, desenvolvem-se </w:t>
      </w:r>
      <w:r w:rsidR="00340170" w:rsidRPr="00FD62A0">
        <w:rPr>
          <w:rFonts w:ascii="Arial" w:eastAsia="TimesNewRomanPSMT" w:hAnsi="Arial" w:cs="Arial"/>
          <w:sz w:val="22"/>
          <w:szCs w:val="22"/>
          <w:lang/>
        </w:rPr>
        <w:t>os</w:t>
      </w:r>
      <w:r w:rsidR="00955602" w:rsidRPr="00FD62A0">
        <w:rPr>
          <w:rFonts w:ascii="Arial" w:eastAsia="TimesNewRomanPSMT" w:hAnsi="Arial" w:cs="Arial"/>
          <w:sz w:val="22"/>
          <w:szCs w:val="22"/>
          <w:lang/>
        </w:rPr>
        <w:t xml:space="preserve"> projetos</w:t>
      </w:r>
      <w:r w:rsidR="00340170" w:rsidRPr="00FD62A0">
        <w:rPr>
          <w:rFonts w:ascii="Arial" w:eastAsia="TimesNewRomanPSMT" w:hAnsi="Arial" w:cs="Arial"/>
          <w:sz w:val="22"/>
          <w:szCs w:val="22"/>
          <w:lang/>
        </w:rPr>
        <w:t xml:space="preserve"> mencionados</w:t>
      </w:r>
      <w:r w:rsidR="00A06942" w:rsidRPr="00FD62A0">
        <w:rPr>
          <w:rFonts w:ascii="Arial" w:eastAsia="TimesNewRomanPSMT" w:hAnsi="Arial" w:cs="Arial"/>
          <w:sz w:val="22"/>
          <w:szCs w:val="22"/>
          <w:lang/>
        </w:rPr>
        <w:t xml:space="preserve">. Ambos são norteados pelos princípios de estruturação de projetos que parceria, que de acordo com Benevides são </w:t>
      </w:r>
      <w:r w:rsidR="00A06942" w:rsidRPr="00FD62A0">
        <w:rPr>
          <w:rFonts w:ascii="Arial" w:hAnsi="Arial" w:cs="Arial"/>
          <w:sz w:val="22"/>
          <w:szCs w:val="22"/>
        </w:rPr>
        <w:t>planejamento, execução das ações e eventos e o acompanhamento das ações desenvolvidas</w:t>
      </w:r>
      <w:r w:rsidR="00955602" w:rsidRPr="00FD62A0">
        <w:rPr>
          <w:rFonts w:ascii="Arial" w:eastAsia="TimesNewRomanPSMT" w:hAnsi="Arial" w:cs="Arial"/>
          <w:sz w:val="22"/>
          <w:szCs w:val="22"/>
          <w:lang/>
        </w:rPr>
        <w:t xml:space="preserve">, conforme </w:t>
      </w:r>
      <w:r w:rsidR="00A06942" w:rsidRPr="00FD62A0">
        <w:rPr>
          <w:rFonts w:ascii="Arial" w:eastAsia="TimesNewRomanPSMT" w:hAnsi="Arial" w:cs="Arial"/>
          <w:sz w:val="22"/>
          <w:szCs w:val="22"/>
          <w:lang/>
        </w:rPr>
        <w:t xml:space="preserve">verificado no capítulo II, sobre as parcerias. A implantação, desenvolvimento, execução e resultados dos projetos são </w:t>
      </w:r>
      <w:r w:rsidR="00955602" w:rsidRPr="00FD62A0">
        <w:rPr>
          <w:rFonts w:ascii="Arial" w:eastAsia="TimesNewRomanPSMT" w:hAnsi="Arial" w:cs="Arial"/>
          <w:sz w:val="22"/>
          <w:szCs w:val="22"/>
          <w:lang/>
        </w:rPr>
        <w:t>analisados a seguir.</w:t>
      </w:r>
    </w:p>
    <w:p w:rsidR="004B7AFC" w:rsidRPr="00FD62A0" w:rsidRDefault="00340170" w:rsidP="00BF4427">
      <w:pPr>
        <w:autoSpaceDE w:val="0"/>
        <w:autoSpaceDN w:val="0"/>
        <w:adjustRightInd w:val="0"/>
        <w:spacing w:line="360" w:lineRule="auto"/>
        <w:ind w:firstLine="720"/>
        <w:jc w:val="both"/>
        <w:rPr>
          <w:rFonts w:ascii="Arial" w:eastAsia="TimesNewRomanPSMT" w:hAnsi="Arial" w:cs="Arial"/>
          <w:sz w:val="22"/>
          <w:szCs w:val="22"/>
        </w:rPr>
      </w:pPr>
      <w:r w:rsidRPr="00FD62A0">
        <w:rPr>
          <w:rFonts w:ascii="Arial" w:hAnsi="Arial" w:cs="Arial"/>
          <w:sz w:val="22"/>
          <w:szCs w:val="22"/>
        </w:rPr>
        <w:t>.</w:t>
      </w:r>
    </w:p>
    <w:p w:rsidR="009F0C25" w:rsidRPr="00FD62A0" w:rsidRDefault="009F0C25" w:rsidP="00BF4427">
      <w:pPr>
        <w:autoSpaceDE w:val="0"/>
        <w:autoSpaceDN w:val="0"/>
        <w:adjustRightInd w:val="0"/>
        <w:spacing w:line="360" w:lineRule="auto"/>
        <w:rPr>
          <w:rFonts w:ascii="Arial" w:hAnsi="Arial" w:cs="Arial"/>
          <w:b/>
          <w:sz w:val="22"/>
          <w:szCs w:val="22"/>
          <w:lang/>
        </w:rPr>
      </w:pPr>
      <w:r w:rsidRPr="00FD62A0">
        <w:rPr>
          <w:rFonts w:ascii="Arial" w:hAnsi="Arial" w:cs="Arial"/>
          <w:b/>
          <w:sz w:val="22"/>
          <w:szCs w:val="22"/>
          <w:lang/>
        </w:rPr>
        <w:t xml:space="preserve">4.1. </w:t>
      </w:r>
      <w:r w:rsidR="00C02187" w:rsidRPr="00FD62A0">
        <w:rPr>
          <w:rFonts w:ascii="Arial" w:hAnsi="Arial" w:cs="Arial"/>
          <w:b/>
          <w:sz w:val="22"/>
          <w:szCs w:val="22"/>
          <w:lang/>
        </w:rPr>
        <w:t>ViraVida</w:t>
      </w:r>
    </w:p>
    <w:p w:rsidR="009F0C25" w:rsidRPr="00FD62A0" w:rsidRDefault="009F0C25" w:rsidP="00BF4427">
      <w:pPr>
        <w:autoSpaceDE w:val="0"/>
        <w:autoSpaceDN w:val="0"/>
        <w:adjustRightInd w:val="0"/>
        <w:spacing w:line="360" w:lineRule="auto"/>
        <w:rPr>
          <w:rFonts w:ascii="Arial" w:hAnsi="Arial" w:cs="Arial"/>
          <w:sz w:val="22"/>
          <w:szCs w:val="22"/>
          <w:lang/>
        </w:rPr>
      </w:pPr>
    </w:p>
    <w:p w:rsidR="009F0C25" w:rsidRPr="00FD62A0" w:rsidRDefault="0073266F"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Em</w:t>
      </w:r>
      <w:r w:rsidR="009F0C25" w:rsidRPr="00FD62A0">
        <w:rPr>
          <w:rFonts w:ascii="Arial" w:hAnsi="Arial" w:cs="Arial"/>
          <w:sz w:val="22"/>
          <w:szCs w:val="22"/>
          <w:lang/>
        </w:rPr>
        <w:t xml:space="preserve"> 2008 surge o Projeto </w:t>
      </w:r>
      <w:r w:rsidR="00C02187" w:rsidRPr="00FD62A0">
        <w:rPr>
          <w:rFonts w:ascii="Arial" w:hAnsi="Arial" w:cs="Arial"/>
          <w:sz w:val="22"/>
          <w:szCs w:val="22"/>
          <w:lang/>
        </w:rPr>
        <w:t>ViraVida</w:t>
      </w:r>
      <w:r w:rsidR="009F0C25" w:rsidRPr="00FD62A0">
        <w:rPr>
          <w:rFonts w:ascii="Arial" w:hAnsi="Arial" w:cs="Arial"/>
          <w:sz w:val="22"/>
          <w:szCs w:val="22"/>
          <w:lang/>
        </w:rPr>
        <w:t xml:space="preserve">, desenvolvido pelo </w:t>
      </w:r>
      <w:r w:rsidR="002A1169" w:rsidRPr="00FD62A0">
        <w:rPr>
          <w:rFonts w:ascii="Arial" w:hAnsi="Arial" w:cs="Arial"/>
          <w:sz w:val="22"/>
          <w:szCs w:val="22"/>
          <w:lang/>
        </w:rPr>
        <w:t>SESI</w:t>
      </w:r>
      <w:r w:rsidR="009F0C25" w:rsidRPr="00FD62A0">
        <w:rPr>
          <w:rFonts w:ascii="Arial" w:hAnsi="Arial" w:cs="Arial"/>
          <w:sz w:val="22"/>
          <w:szCs w:val="22"/>
          <w:lang/>
        </w:rPr>
        <w:t>, em parceria com as instituições do Sistema S, além de outros parceiros</w:t>
      </w:r>
      <w:r w:rsidR="00EE4C2E" w:rsidRPr="00FD62A0">
        <w:rPr>
          <w:rFonts w:ascii="Arial" w:hAnsi="Arial" w:cs="Arial"/>
          <w:sz w:val="22"/>
          <w:szCs w:val="22"/>
          <w:lang/>
        </w:rPr>
        <w:t xml:space="preserve"> públicos e privados</w:t>
      </w:r>
      <w:r w:rsidR="009F0C25" w:rsidRPr="00FD62A0">
        <w:rPr>
          <w:rFonts w:ascii="Arial" w:hAnsi="Arial" w:cs="Arial"/>
          <w:sz w:val="22"/>
          <w:szCs w:val="22"/>
          <w:lang/>
        </w:rPr>
        <w:t xml:space="preserve">. O projeto foi criado com o intuito de combater a exploração sexual de crianças e adolescentes. O Conselho Nacional do </w:t>
      </w:r>
      <w:r w:rsidR="002A1169" w:rsidRPr="00FD62A0">
        <w:rPr>
          <w:rFonts w:ascii="Arial" w:hAnsi="Arial" w:cs="Arial"/>
          <w:sz w:val="22"/>
          <w:szCs w:val="22"/>
          <w:lang/>
        </w:rPr>
        <w:t>SESI</w:t>
      </w:r>
      <w:r w:rsidR="009F0C25" w:rsidRPr="00FD62A0">
        <w:rPr>
          <w:rFonts w:ascii="Arial" w:hAnsi="Arial" w:cs="Arial"/>
          <w:sz w:val="22"/>
          <w:szCs w:val="22"/>
          <w:lang/>
        </w:rPr>
        <w:t xml:space="preserve"> foi o responsável por angariar contatos e parceiros, além de tomar profundo conhecimento do tema e elaborar o projeto preliminar.</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A abordagem do projeto é combater a exploração sexual </w:t>
      </w:r>
      <w:r w:rsidR="00A85E06">
        <w:rPr>
          <w:rFonts w:ascii="Arial" w:hAnsi="Arial" w:cs="Arial"/>
          <w:sz w:val="22"/>
          <w:szCs w:val="22"/>
          <w:lang/>
        </w:rPr>
        <w:t>infantojuvenil</w:t>
      </w:r>
      <w:r w:rsidRPr="00FD62A0">
        <w:rPr>
          <w:rFonts w:ascii="Arial" w:hAnsi="Arial" w:cs="Arial"/>
          <w:sz w:val="22"/>
          <w:szCs w:val="22"/>
          <w:lang/>
        </w:rPr>
        <w:t xml:space="preserve">, através do atendimento </w:t>
      </w:r>
      <w:r w:rsidR="00BE4F09">
        <w:rPr>
          <w:rFonts w:ascii="Arial" w:hAnsi="Arial" w:cs="Arial"/>
          <w:sz w:val="22"/>
          <w:szCs w:val="22"/>
          <w:lang/>
        </w:rPr>
        <w:t>à</w:t>
      </w:r>
      <w:r w:rsidRPr="00FD62A0">
        <w:rPr>
          <w:rFonts w:ascii="Arial" w:hAnsi="Arial" w:cs="Arial"/>
          <w:sz w:val="22"/>
          <w:szCs w:val="22"/>
          <w:lang/>
        </w:rPr>
        <w:t xml:space="preserve"> jovens e crianças vítimas de violência sexual. Por meio de ações sócio-educativas, o </w:t>
      </w:r>
      <w:r w:rsidR="00C02187" w:rsidRPr="00FD62A0">
        <w:rPr>
          <w:rFonts w:ascii="Arial" w:hAnsi="Arial" w:cs="Arial"/>
          <w:sz w:val="22"/>
          <w:szCs w:val="22"/>
          <w:lang/>
        </w:rPr>
        <w:t>ViraVida</w:t>
      </w:r>
      <w:r w:rsidRPr="00FD62A0">
        <w:rPr>
          <w:rFonts w:ascii="Arial" w:hAnsi="Arial" w:cs="Arial"/>
          <w:sz w:val="22"/>
          <w:szCs w:val="22"/>
          <w:lang/>
        </w:rPr>
        <w:t xml:space="preserve"> busca devolver a autonomia aos jovens e crianças que até então encontravam-se subjugados devido à sua situação.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Para melhor averiguação do desenvolvimento do Projeto, é necessário conhecer o grupo ao qual se destina atender. Sendo assim, com base em informações fornecidas pelas equipes que atuaram no Projeto, desenha-se o perfil dos jovens atendidos.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O </w:t>
      </w:r>
      <w:r w:rsidR="00C02187" w:rsidRPr="00FD62A0">
        <w:rPr>
          <w:rFonts w:ascii="Arial" w:hAnsi="Arial" w:cs="Arial"/>
          <w:sz w:val="22"/>
          <w:szCs w:val="22"/>
          <w:lang/>
        </w:rPr>
        <w:t>ViraVida</w:t>
      </w:r>
      <w:r w:rsidRPr="00FD62A0">
        <w:rPr>
          <w:rFonts w:ascii="Arial" w:hAnsi="Arial" w:cs="Arial"/>
          <w:sz w:val="22"/>
          <w:szCs w:val="22"/>
          <w:lang/>
        </w:rPr>
        <w:t xml:space="preserve"> visa alcançar jovens em situação de violação de direitos, tais como exploração sexual, abuso, situação de rua, abandono escolar, drogadição, trabalho infantil, </w:t>
      </w:r>
      <w:r w:rsidRPr="00FD62A0">
        <w:rPr>
          <w:rFonts w:ascii="Arial" w:hAnsi="Arial" w:cs="Arial"/>
          <w:sz w:val="22"/>
          <w:szCs w:val="22"/>
          <w:lang/>
        </w:rPr>
        <w:lastRenderedPageBreak/>
        <w:t xml:space="preserve">entre outros. </w:t>
      </w:r>
      <w:r w:rsidR="00B753E9" w:rsidRPr="00FD62A0">
        <w:rPr>
          <w:rFonts w:ascii="Arial" w:hAnsi="Arial" w:cs="Arial"/>
          <w:sz w:val="22"/>
          <w:szCs w:val="22"/>
          <w:lang/>
        </w:rPr>
        <w:t>Os jovens atendidos têm</w:t>
      </w:r>
      <w:r w:rsidRPr="00FD62A0">
        <w:rPr>
          <w:rFonts w:ascii="Arial" w:hAnsi="Arial" w:cs="Arial"/>
          <w:sz w:val="22"/>
          <w:szCs w:val="22"/>
          <w:lang/>
        </w:rPr>
        <w:t xml:space="preserve"> idades entre 15 e 24 anos, sendo que a maioria está na faixa etária de </w:t>
      </w:r>
      <w:smartTag w:uri="urn:schemas-microsoft-com:office:smarttags" w:element="metricconverter">
        <w:smartTagPr>
          <w:attr w:name="ProductID" w:val="16 a"/>
        </w:smartTagPr>
        <w:r w:rsidRPr="00FD62A0">
          <w:rPr>
            <w:rFonts w:ascii="Arial" w:hAnsi="Arial" w:cs="Arial"/>
            <w:sz w:val="22"/>
            <w:szCs w:val="22"/>
            <w:lang/>
          </w:rPr>
          <w:t>16 a</w:t>
        </w:r>
      </w:smartTag>
      <w:r w:rsidRPr="00FD62A0">
        <w:rPr>
          <w:rFonts w:ascii="Arial" w:hAnsi="Arial" w:cs="Arial"/>
          <w:sz w:val="22"/>
          <w:szCs w:val="22"/>
          <w:lang/>
        </w:rPr>
        <w:t xml:space="preserve"> 21 anos.</w:t>
      </w:r>
    </w:p>
    <w:p w:rsidR="00431DE1" w:rsidRPr="00FD62A0" w:rsidRDefault="00431DE1" w:rsidP="00BF4427">
      <w:pPr>
        <w:autoSpaceDE w:val="0"/>
        <w:autoSpaceDN w:val="0"/>
        <w:adjustRightInd w:val="0"/>
        <w:spacing w:line="360" w:lineRule="auto"/>
        <w:ind w:firstLine="708"/>
        <w:jc w:val="both"/>
        <w:rPr>
          <w:rFonts w:ascii="Arial" w:hAnsi="Arial" w:cs="Arial"/>
          <w:sz w:val="22"/>
          <w:szCs w:val="22"/>
          <w:lang/>
        </w:rPr>
      </w:pPr>
    </w:p>
    <w:p w:rsidR="009F0C25" w:rsidRDefault="009F0C25" w:rsidP="00BF4427">
      <w:pPr>
        <w:autoSpaceDE w:val="0"/>
        <w:autoSpaceDN w:val="0"/>
        <w:adjustRightInd w:val="0"/>
        <w:spacing w:line="360" w:lineRule="auto"/>
        <w:jc w:val="center"/>
        <w:rPr>
          <w:rFonts w:ascii="Arial" w:hAnsi="Arial" w:cs="Arial"/>
          <w:b/>
          <w:sz w:val="22"/>
          <w:szCs w:val="22"/>
          <w:lang/>
        </w:rPr>
      </w:pPr>
      <w:r w:rsidRPr="00FD62A0">
        <w:rPr>
          <w:rFonts w:ascii="Arial" w:hAnsi="Arial" w:cs="Arial"/>
          <w:b/>
          <w:sz w:val="22"/>
          <w:szCs w:val="22"/>
          <w:lang/>
        </w:rPr>
        <w:t xml:space="preserve">Gráfico 4.1. Idade dos estudantes </w:t>
      </w:r>
      <w:r w:rsidR="00C02187" w:rsidRPr="00FD62A0">
        <w:rPr>
          <w:rFonts w:ascii="Arial" w:hAnsi="Arial" w:cs="Arial"/>
          <w:b/>
          <w:sz w:val="22"/>
          <w:szCs w:val="22"/>
          <w:lang/>
        </w:rPr>
        <w:t>ViraVida</w:t>
      </w:r>
      <w:r w:rsidRPr="00FD62A0">
        <w:rPr>
          <w:rFonts w:ascii="Arial" w:hAnsi="Arial" w:cs="Arial"/>
          <w:b/>
          <w:sz w:val="22"/>
          <w:szCs w:val="22"/>
          <w:lang/>
        </w:rPr>
        <w:t>:</w:t>
      </w:r>
    </w:p>
    <w:p w:rsidR="00C90C33" w:rsidRPr="00FD62A0" w:rsidRDefault="00C90C33" w:rsidP="00BF4427">
      <w:pPr>
        <w:autoSpaceDE w:val="0"/>
        <w:autoSpaceDN w:val="0"/>
        <w:adjustRightInd w:val="0"/>
        <w:spacing w:line="360" w:lineRule="auto"/>
        <w:jc w:val="center"/>
        <w:rPr>
          <w:rFonts w:ascii="Arial" w:hAnsi="Arial" w:cs="Arial"/>
          <w:b/>
          <w:sz w:val="22"/>
          <w:szCs w:val="22"/>
          <w:lang/>
        </w:rPr>
      </w:pPr>
    </w:p>
    <w:p w:rsidR="009F0C25" w:rsidRPr="00FD62A0" w:rsidRDefault="009F0C25" w:rsidP="00C90C33">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noProof/>
          <w:sz w:val="22"/>
          <w:szCs w:val="22"/>
          <w:lang/>
        </w:rPr>
        <w:pict>
          <v:shape id="_x0000_s1038" type="#_x0000_t202" style="position:absolute;left:0;text-align:left;margin-left:43.4pt;margin-top:182.45pt;width:319.7pt;height:20.6pt;z-index:251653632;mso-height-percent:200;mso-height-percent:200;mso-width-relative:margin;mso-height-relative:margin" strokecolor="white">
            <v:textbox style="mso-next-textbox:#_x0000_s1038;mso-fit-shape-to-text:t">
              <w:txbxContent>
                <w:p w:rsidR="00F478F9" w:rsidRPr="00431DE1" w:rsidRDefault="00F478F9" w:rsidP="009F0C25">
                  <w:pPr>
                    <w:rPr>
                      <w:rFonts w:ascii="Arial" w:hAnsi="Arial" w:cs="Arial"/>
                      <w:sz w:val="22"/>
                      <w:szCs w:val="22"/>
                    </w:rPr>
                  </w:pPr>
                  <w:r w:rsidRPr="00431DE1">
                    <w:rPr>
                      <w:rFonts w:ascii="Arial" w:hAnsi="Arial" w:cs="Arial"/>
                      <w:sz w:val="22"/>
                      <w:szCs w:val="22"/>
                    </w:rPr>
                    <w:t>Fonte: Dados obtidos junto à equipe técnica de Fortaleza</w:t>
                  </w:r>
                </w:p>
              </w:txbxContent>
            </v:textbox>
          </v:shape>
        </w:pict>
      </w:r>
      <w:r w:rsidR="00765105">
        <w:rPr>
          <w:rFonts w:ascii="Arial" w:hAnsi="Arial" w:cs="Arial"/>
          <w:noProof/>
          <w:sz w:val="22"/>
          <w:szCs w:val="22"/>
        </w:rPr>
        <w:drawing>
          <wp:inline distT="0" distB="0" distL="0" distR="0">
            <wp:extent cx="4676775" cy="2324100"/>
            <wp:effectExtent l="0" t="0" r="0" b="0"/>
            <wp:docPr id="8" name="Objeto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5867EB" w:rsidRPr="00FD62A0" w:rsidRDefault="005867EB" w:rsidP="00BF4427">
      <w:pPr>
        <w:autoSpaceDE w:val="0"/>
        <w:autoSpaceDN w:val="0"/>
        <w:adjustRightInd w:val="0"/>
        <w:spacing w:line="360" w:lineRule="auto"/>
        <w:ind w:firstLine="709"/>
        <w:jc w:val="both"/>
        <w:rPr>
          <w:rFonts w:ascii="Arial" w:hAnsi="Arial" w:cs="Arial"/>
          <w:sz w:val="22"/>
          <w:szCs w:val="22"/>
          <w:lang/>
        </w:rPr>
      </w:pPr>
    </w:p>
    <w:p w:rsidR="00431DE1" w:rsidRPr="00FD62A0" w:rsidRDefault="00431DE1" w:rsidP="00BF4427">
      <w:pPr>
        <w:autoSpaceDE w:val="0"/>
        <w:autoSpaceDN w:val="0"/>
        <w:adjustRightInd w:val="0"/>
        <w:spacing w:line="360" w:lineRule="auto"/>
        <w:ind w:firstLine="709"/>
        <w:jc w:val="both"/>
        <w:rPr>
          <w:rFonts w:ascii="Arial" w:hAnsi="Arial" w:cs="Arial"/>
          <w:sz w:val="22"/>
          <w:szCs w:val="22"/>
          <w:lang/>
        </w:rPr>
      </w:pPr>
    </w:p>
    <w:p w:rsidR="003A24C7" w:rsidRPr="00FD62A0" w:rsidRDefault="003A24C7"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Considerando-se a questão de gênero embutida na temática da exploração sexual, 79% dos jovens são do sexo feminino, em relação a 21% do sexo masculino. Dentre os atendidos, 90% declara-se heterossexual em detrimento de 10% que afirmam ser homossexuais.</w:t>
      </w:r>
    </w:p>
    <w:p w:rsidR="003A24C7" w:rsidRPr="00FD62A0" w:rsidRDefault="003A24C7"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A renda dos entrevistados é predominantemente menor que um salário mínimo, sendo este grupo equivalente a 61%. Entre os demais, 20% </w:t>
      </w:r>
      <w:r w:rsidR="00B753E9" w:rsidRPr="00FD62A0">
        <w:rPr>
          <w:rFonts w:ascii="Arial" w:hAnsi="Arial" w:cs="Arial"/>
          <w:sz w:val="22"/>
          <w:szCs w:val="22"/>
          <w:lang/>
        </w:rPr>
        <w:t>têm</w:t>
      </w:r>
      <w:r w:rsidRPr="00FD62A0">
        <w:rPr>
          <w:rFonts w:ascii="Arial" w:hAnsi="Arial" w:cs="Arial"/>
          <w:sz w:val="22"/>
          <w:szCs w:val="22"/>
          <w:lang/>
        </w:rPr>
        <w:t xml:space="preserve"> renda de um salário mínimo e 19% mais de um salário mínimo.</w:t>
      </w:r>
    </w:p>
    <w:p w:rsidR="003A24C7" w:rsidRPr="00FD62A0" w:rsidRDefault="003A24C7"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No quesito escolaridade, há vasta discrepância entre os inscritos em relação aqueles que concluíram o ensino fundamental e os que terminaram o ensino médio, sendo que muitos dos jovens abandonaram o curso escolar sem término, dando início, mas evadindo tempos depois. De forma geral, 48% dos jovens </w:t>
      </w:r>
      <w:r w:rsidR="00EC6AA7">
        <w:rPr>
          <w:rFonts w:ascii="Arial" w:hAnsi="Arial" w:cs="Arial"/>
          <w:sz w:val="22"/>
          <w:szCs w:val="22"/>
          <w:lang/>
        </w:rPr>
        <w:t>se enquadram</w:t>
      </w:r>
      <w:r w:rsidRPr="00FD62A0">
        <w:rPr>
          <w:rFonts w:ascii="Arial" w:hAnsi="Arial" w:cs="Arial"/>
          <w:sz w:val="22"/>
          <w:szCs w:val="22"/>
          <w:lang/>
        </w:rPr>
        <w:t xml:space="preserve"> no ensino fundamental, e 52% no ensino médio, sejam eles concluídos ou não, conforme observado no gráfico 4.2., abaixo.</w:t>
      </w:r>
    </w:p>
    <w:p w:rsidR="00CD409D" w:rsidRPr="00FD62A0" w:rsidRDefault="00CD409D" w:rsidP="00BF4427">
      <w:pPr>
        <w:autoSpaceDE w:val="0"/>
        <w:autoSpaceDN w:val="0"/>
        <w:adjustRightInd w:val="0"/>
        <w:spacing w:line="360" w:lineRule="auto"/>
        <w:ind w:firstLine="708"/>
        <w:jc w:val="both"/>
        <w:rPr>
          <w:rFonts w:ascii="Arial" w:hAnsi="Arial" w:cs="Arial"/>
          <w:sz w:val="22"/>
          <w:szCs w:val="22"/>
          <w:lang/>
        </w:rPr>
      </w:pPr>
    </w:p>
    <w:p w:rsidR="00E54B1A" w:rsidRDefault="00E54B1A" w:rsidP="00BF4427">
      <w:pPr>
        <w:autoSpaceDE w:val="0"/>
        <w:autoSpaceDN w:val="0"/>
        <w:adjustRightInd w:val="0"/>
        <w:spacing w:line="360" w:lineRule="auto"/>
        <w:ind w:firstLine="709"/>
        <w:jc w:val="center"/>
        <w:rPr>
          <w:rFonts w:ascii="Arial" w:hAnsi="Arial" w:cs="Arial"/>
          <w:b/>
          <w:sz w:val="22"/>
          <w:szCs w:val="22"/>
          <w:lang/>
        </w:rPr>
      </w:pPr>
    </w:p>
    <w:p w:rsidR="00E54B1A" w:rsidRDefault="00E54B1A" w:rsidP="00BF4427">
      <w:pPr>
        <w:autoSpaceDE w:val="0"/>
        <w:autoSpaceDN w:val="0"/>
        <w:adjustRightInd w:val="0"/>
        <w:spacing w:line="360" w:lineRule="auto"/>
        <w:ind w:firstLine="709"/>
        <w:jc w:val="center"/>
        <w:rPr>
          <w:rFonts w:ascii="Arial" w:hAnsi="Arial" w:cs="Arial"/>
          <w:b/>
          <w:sz w:val="22"/>
          <w:szCs w:val="22"/>
          <w:lang/>
        </w:rPr>
      </w:pPr>
    </w:p>
    <w:p w:rsidR="00E54B1A" w:rsidRDefault="00E54B1A" w:rsidP="00BF4427">
      <w:pPr>
        <w:autoSpaceDE w:val="0"/>
        <w:autoSpaceDN w:val="0"/>
        <w:adjustRightInd w:val="0"/>
        <w:spacing w:line="360" w:lineRule="auto"/>
        <w:ind w:firstLine="709"/>
        <w:jc w:val="center"/>
        <w:rPr>
          <w:rFonts w:ascii="Arial" w:hAnsi="Arial" w:cs="Arial"/>
          <w:b/>
          <w:sz w:val="22"/>
          <w:szCs w:val="22"/>
          <w:lang/>
        </w:rPr>
      </w:pPr>
    </w:p>
    <w:p w:rsidR="00E54B1A" w:rsidRDefault="00E54B1A" w:rsidP="00BF4427">
      <w:pPr>
        <w:autoSpaceDE w:val="0"/>
        <w:autoSpaceDN w:val="0"/>
        <w:adjustRightInd w:val="0"/>
        <w:spacing w:line="360" w:lineRule="auto"/>
        <w:ind w:firstLine="709"/>
        <w:jc w:val="center"/>
        <w:rPr>
          <w:rFonts w:ascii="Arial" w:hAnsi="Arial" w:cs="Arial"/>
          <w:b/>
          <w:sz w:val="22"/>
          <w:szCs w:val="22"/>
          <w:lang/>
        </w:rPr>
      </w:pPr>
    </w:p>
    <w:p w:rsidR="00E54B1A" w:rsidRDefault="00E54B1A" w:rsidP="00BF4427">
      <w:pPr>
        <w:autoSpaceDE w:val="0"/>
        <w:autoSpaceDN w:val="0"/>
        <w:adjustRightInd w:val="0"/>
        <w:spacing w:line="360" w:lineRule="auto"/>
        <w:ind w:firstLine="709"/>
        <w:jc w:val="center"/>
        <w:rPr>
          <w:rFonts w:ascii="Arial" w:hAnsi="Arial" w:cs="Arial"/>
          <w:b/>
          <w:sz w:val="22"/>
          <w:szCs w:val="22"/>
          <w:lang/>
        </w:rPr>
      </w:pPr>
    </w:p>
    <w:p w:rsidR="003A24C7" w:rsidRPr="00FD62A0" w:rsidRDefault="003A24C7" w:rsidP="00BF4427">
      <w:pPr>
        <w:autoSpaceDE w:val="0"/>
        <w:autoSpaceDN w:val="0"/>
        <w:adjustRightInd w:val="0"/>
        <w:spacing w:line="360" w:lineRule="auto"/>
        <w:ind w:firstLine="709"/>
        <w:jc w:val="center"/>
        <w:rPr>
          <w:rFonts w:ascii="Arial" w:hAnsi="Arial" w:cs="Arial"/>
          <w:b/>
          <w:sz w:val="22"/>
          <w:szCs w:val="22"/>
          <w:lang/>
        </w:rPr>
      </w:pPr>
      <w:r w:rsidRPr="00FD62A0">
        <w:rPr>
          <w:rFonts w:ascii="Arial" w:hAnsi="Arial" w:cs="Arial"/>
          <w:b/>
          <w:sz w:val="22"/>
          <w:szCs w:val="22"/>
          <w:lang/>
        </w:rPr>
        <w:lastRenderedPageBreak/>
        <w:t xml:space="preserve">Gráfico 4.2. Escolaridade dos estudantes </w:t>
      </w:r>
      <w:r w:rsidR="00C02187" w:rsidRPr="00FD62A0">
        <w:rPr>
          <w:rFonts w:ascii="Arial" w:hAnsi="Arial" w:cs="Arial"/>
          <w:b/>
          <w:sz w:val="22"/>
          <w:szCs w:val="22"/>
          <w:lang/>
        </w:rPr>
        <w:t>ViraVida</w:t>
      </w:r>
      <w:r w:rsidRPr="00FD62A0">
        <w:rPr>
          <w:rFonts w:ascii="Arial" w:hAnsi="Arial" w:cs="Arial"/>
          <w:b/>
          <w:sz w:val="22"/>
          <w:szCs w:val="22"/>
          <w:lang/>
        </w:rPr>
        <w:t>:</w:t>
      </w:r>
    </w:p>
    <w:p w:rsidR="009F0C25" w:rsidRPr="00FD62A0" w:rsidRDefault="00A93BF6" w:rsidP="00E54B1A">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noProof/>
          <w:sz w:val="22"/>
          <w:szCs w:val="22"/>
        </w:rPr>
        <w:pict>
          <v:shape id="_x0000_s1127" type="#_x0000_t202" style="position:absolute;left:0;text-align:left;margin-left:54.05pt;margin-top:184.85pt;width:389.45pt;height:20.6pt;z-index:251663872;mso-height-percent:200;mso-height-percent:200;mso-width-relative:margin;mso-height-relative:margin" strokecolor="white">
            <v:textbox style="mso-next-textbox:#_x0000_s1127;mso-fit-shape-to-text:t">
              <w:txbxContent>
                <w:p w:rsidR="00F478F9" w:rsidRPr="00431DE1" w:rsidRDefault="00F478F9" w:rsidP="00466A91">
                  <w:pPr>
                    <w:ind w:left="708" w:firstLine="708"/>
                    <w:rPr>
                      <w:rFonts w:ascii="Arial" w:hAnsi="Arial" w:cs="Arial"/>
                      <w:sz w:val="22"/>
                      <w:szCs w:val="22"/>
                    </w:rPr>
                  </w:pPr>
                  <w:r w:rsidRPr="00431DE1">
                    <w:rPr>
                      <w:rFonts w:ascii="Arial" w:hAnsi="Arial" w:cs="Arial"/>
                      <w:sz w:val="22"/>
                      <w:szCs w:val="22"/>
                    </w:rPr>
                    <w:t>Fonte: Dados obtidos junto à equipe técnica de Fortaleza</w:t>
                  </w:r>
                </w:p>
              </w:txbxContent>
            </v:textbox>
          </v:shape>
        </w:pict>
      </w:r>
      <w:r w:rsidR="00765105">
        <w:rPr>
          <w:rFonts w:ascii="Arial" w:hAnsi="Arial" w:cs="Arial"/>
          <w:noProof/>
          <w:sz w:val="22"/>
          <w:szCs w:val="22"/>
        </w:rPr>
        <w:drawing>
          <wp:inline distT="0" distB="0" distL="0" distR="0">
            <wp:extent cx="4676775" cy="2324100"/>
            <wp:effectExtent l="0" t="0" r="0" b="0"/>
            <wp:docPr id="9" name="Objeto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A93BF6" w:rsidRPr="00FD62A0" w:rsidRDefault="00A93BF6" w:rsidP="00BF4427">
      <w:pPr>
        <w:autoSpaceDE w:val="0"/>
        <w:autoSpaceDN w:val="0"/>
        <w:adjustRightInd w:val="0"/>
        <w:spacing w:line="360" w:lineRule="auto"/>
        <w:ind w:firstLine="708"/>
        <w:jc w:val="both"/>
        <w:rPr>
          <w:rFonts w:ascii="Arial" w:hAnsi="Arial" w:cs="Arial"/>
          <w:sz w:val="22"/>
          <w:szCs w:val="22"/>
          <w:lang/>
        </w:rPr>
      </w:pPr>
    </w:p>
    <w:p w:rsidR="00A93BF6" w:rsidRPr="00FD62A0" w:rsidRDefault="00A93BF6" w:rsidP="00BF4427">
      <w:pPr>
        <w:autoSpaceDE w:val="0"/>
        <w:autoSpaceDN w:val="0"/>
        <w:adjustRightInd w:val="0"/>
        <w:spacing w:line="360" w:lineRule="auto"/>
        <w:ind w:firstLine="708"/>
        <w:jc w:val="both"/>
        <w:rPr>
          <w:rFonts w:ascii="Arial" w:hAnsi="Arial" w:cs="Arial"/>
          <w:sz w:val="22"/>
          <w:szCs w:val="22"/>
          <w:lang/>
        </w:rPr>
      </w:pP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A renda dos entrevistados é predominantemente menor que um salário mínimo, sendo este grupo equivalente a 61%. Entre os demais, 20% têm renda de um salário mínimo e 19% mais de um salário mínimo</w:t>
      </w:r>
      <w:r w:rsidR="003A24C7" w:rsidRPr="00FD62A0">
        <w:rPr>
          <w:rStyle w:val="Refdenotaderodap"/>
          <w:rFonts w:ascii="Arial" w:hAnsi="Arial" w:cs="Arial"/>
          <w:sz w:val="22"/>
          <w:szCs w:val="22"/>
          <w:lang/>
        </w:rPr>
        <w:footnoteReference w:id="9"/>
      </w:r>
      <w:r w:rsidRPr="00FD62A0">
        <w:rPr>
          <w:rFonts w:ascii="Arial" w:hAnsi="Arial" w:cs="Arial"/>
          <w:sz w:val="22"/>
          <w:szCs w:val="22"/>
          <w:lang/>
        </w:rPr>
        <w:t>.</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Decidida a realização do Projeto, um dos primeiros desafio encontrados na elaboração do </w:t>
      </w:r>
      <w:r w:rsidR="00C02187" w:rsidRPr="00FD62A0">
        <w:rPr>
          <w:rFonts w:ascii="Arial" w:hAnsi="Arial" w:cs="Arial"/>
          <w:sz w:val="22"/>
          <w:szCs w:val="22"/>
          <w:lang/>
        </w:rPr>
        <w:t>ViraVida</w:t>
      </w:r>
      <w:r w:rsidRPr="00FD62A0">
        <w:rPr>
          <w:rFonts w:ascii="Arial" w:hAnsi="Arial" w:cs="Arial"/>
          <w:sz w:val="22"/>
          <w:szCs w:val="22"/>
          <w:lang/>
        </w:rPr>
        <w:t xml:space="preserve"> esteve relacionado à busca de parcerias. Existia a noção de que nenhuma instituição isoladamente estaria apta a abordar eficazmente todo o contexto proposto no projeto. A partir desta constatação, buscou-se como solução, integrar o </w:t>
      </w:r>
      <w:r w:rsidR="002A1169" w:rsidRPr="00FD62A0">
        <w:rPr>
          <w:rFonts w:ascii="Arial" w:hAnsi="Arial" w:cs="Arial"/>
          <w:sz w:val="22"/>
          <w:szCs w:val="22"/>
          <w:lang/>
        </w:rPr>
        <w:t>SESI</w:t>
      </w:r>
      <w:r w:rsidRPr="00FD62A0">
        <w:rPr>
          <w:rFonts w:ascii="Arial" w:hAnsi="Arial" w:cs="Arial"/>
          <w:sz w:val="22"/>
          <w:szCs w:val="22"/>
          <w:lang/>
        </w:rPr>
        <w:t xml:space="preserve"> e demais instituições do Sistema S ligadas ao Projeto (</w:t>
      </w:r>
      <w:r w:rsidR="002A1169" w:rsidRPr="00FD62A0">
        <w:rPr>
          <w:rFonts w:ascii="Arial" w:hAnsi="Arial" w:cs="Arial"/>
          <w:sz w:val="22"/>
          <w:szCs w:val="22"/>
          <w:lang/>
        </w:rPr>
        <w:t>SESC</w:t>
      </w:r>
      <w:r w:rsidRPr="00FD62A0">
        <w:rPr>
          <w:rFonts w:ascii="Arial" w:hAnsi="Arial" w:cs="Arial"/>
          <w:sz w:val="22"/>
          <w:szCs w:val="22"/>
          <w:lang/>
        </w:rPr>
        <w:t xml:space="preserve">, </w:t>
      </w:r>
      <w:r w:rsidR="002A1169" w:rsidRPr="00FD62A0">
        <w:rPr>
          <w:rFonts w:ascii="Arial" w:hAnsi="Arial" w:cs="Arial"/>
          <w:sz w:val="22"/>
          <w:szCs w:val="22"/>
          <w:lang/>
        </w:rPr>
        <w:t>SENAI</w:t>
      </w:r>
      <w:r w:rsidRPr="00FD62A0">
        <w:rPr>
          <w:rFonts w:ascii="Arial" w:hAnsi="Arial" w:cs="Arial"/>
          <w:sz w:val="22"/>
          <w:szCs w:val="22"/>
          <w:lang/>
        </w:rPr>
        <w:t xml:space="preserve">, </w:t>
      </w:r>
      <w:r w:rsidR="002A1169" w:rsidRPr="00FD62A0">
        <w:rPr>
          <w:rFonts w:ascii="Arial" w:hAnsi="Arial" w:cs="Arial"/>
          <w:sz w:val="22"/>
          <w:szCs w:val="22"/>
          <w:lang/>
        </w:rPr>
        <w:t>SENAC</w:t>
      </w:r>
      <w:r w:rsidRPr="00FD62A0">
        <w:rPr>
          <w:rFonts w:ascii="Arial" w:hAnsi="Arial" w:cs="Arial"/>
          <w:sz w:val="22"/>
          <w:szCs w:val="22"/>
          <w:lang/>
        </w:rPr>
        <w:t xml:space="preserve">, </w:t>
      </w:r>
      <w:r w:rsidR="00C02187" w:rsidRPr="00FD62A0">
        <w:rPr>
          <w:rFonts w:ascii="Arial" w:hAnsi="Arial" w:cs="Arial"/>
          <w:sz w:val="22"/>
          <w:szCs w:val="22"/>
          <w:lang/>
        </w:rPr>
        <w:t>SEBRAE</w:t>
      </w:r>
      <w:r w:rsidRPr="00FD62A0">
        <w:rPr>
          <w:rFonts w:ascii="Arial" w:hAnsi="Arial" w:cs="Arial"/>
          <w:sz w:val="22"/>
          <w:szCs w:val="22"/>
          <w:lang/>
        </w:rPr>
        <w:t xml:space="preserve"> e </w:t>
      </w:r>
      <w:r w:rsidR="002A1169" w:rsidRPr="00FD62A0">
        <w:rPr>
          <w:rFonts w:ascii="Arial" w:hAnsi="Arial" w:cs="Arial"/>
          <w:sz w:val="22"/>
          <w:szCs w:val="22"/>
          <w:lang/>
        </w:rPr>
        <w:t>SESC</w:t>
      </w:r>
      <w:r w:rsidR="00C02187" w:rsidRPr="00FD62A0">
        <w:rPr>
          <w:rFonts w:ascii="Arial" w:hAnsi="Arial" w:cs="Arial"/>
          <w:sz w:val="22"/>
          <w:szCs w:val="22"/>
          <w:lang/>
        </w:rPr>
        <w:t>OOP</w:t>
      </w:r>
      <w:r w:rsidRPr="00FD62A0">
        <w:rPr>
          <w:rFonts w:ascii="Arial" w:hAnsi="Arial" w:cs="Arial"/>
          <w:sz w:val="22"/>
          <w:szCs w:val="22"/>
          <w:lang/>
        </w:rPr>
        <w:t>), tanto entre si, quanto com os demais parceiros externos ao grupo.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Em relação à escolha dos parceiros externos, estabeleceu-se que essa deveria ser pautada em compatibilidades e competências. Ou seja, os parceiros devem buscar alcançar um mesmo fim, além de estarem capacitados dentro das necessidades do projeto. Tais questões são imprescindíveis para a obtenção dos melhores resultados possíveis.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Outro desafio refere-se ao tema abordado pelo projeto, que trata da exploração sexual de crianças e adolescentes. Houve a necessidade de adaptações</w:t>
      </w:r>
      <w:r w:rsidR="00B753E9">
        <w:rPr>
          <w:rFonts w:ascii="Arial" w:hAnsi="Arial" w:cs="Arial"/>
          <w:sz w:val="22"/>
          <w:szCs w:val="22"/>
          <w:lang/>
        </w:rPr>
        <w:t>,</w:t>
      </w:r>
      <w:r w:rsidRPr="00FD62A0">
        <w:rPr>
          <w:rFonts w:ascii="Arial" w:hAnsi="Arial" w:cs="Arial"/>
          <w:sz w:val="22"/>
          <w:szCs w:val="22"/>
          <w:lang/>
        </w:rPr>
        <w:t xml:space="preserve"> pois as entidades do Sistema S são ligadas principalmente às  áreas cultural, educativa e de saúde, enquanto o público beneficiário do projeto exigia atendimento especial, diferenciado, por apresentar uma trajetória de vida marcada por privações, violência, baixo poder econômico e baixa escolaridade. Ao considerar, entretanto, que tal público era afastado das instituições sociais por consequência de sua condição, encontrou-se nexo entre o projeto e os objetivos das instituições: reduzir a exclusão social.</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lastRenderedPageBreak/>
        <w:tab/>
        <w:t>Passados os ajustes iniciais, a base do Projeto encontra-se no Relatório da Pesquisa sobre o Tráfico de Mulheres, Crianças e Adolescentes para fins de Exploração Sexual Comercial no Brasil (Pestraf 2002), realizado pela ONG CECRIA. Foi ainda a partir do referido relatório que se consolidou a ideia de direcionar o Projeto aos Estados do Nordeste Brasileiro.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 xml:space="preserve">Inicialmente, o Projeto trabalha em Fortaleza com 5 cursos: Criação e Moda, Agente de Eventos, Auxiliar de Cozinha, Costureiro Industrial, Moda Praia/íntima e Comunicação Digital, estando eles a cargo do </w:t>
      </w:r>
      <w:r w:rsidR="002A1169" w:rsidRPr="00FD62A0">
        <w:rPr>
          <w:rFonts w:ascii="Arial" w:hAnsi="Arial" w:cs="Arial"/>
          <w:sz w:val="22"/>
          <w:szCs w:val="22"/>
          <w:lang/>
        </w:rPr>
        <w:t>SENAI</w:t>
      </w:r>
      <w:r w:rsidRPr="00FD62A0">
        <w:rPr>
          <w:rFonts w:ascii="Arial" w:hAnsi="Arial" w:cs="Arial"/>
          <w:sz w:val="22"/>
          <w:szCs w:val="22"/>
          <w:lang/>
        </w:rPr>
        <w:t xml:space="preserve"> e </w:t>
      </w:r>
      <w:r w:rsidR="002A1169" w:rsidRPr="00FD62A0">
        <w:rPr>
          <w:rFonts w:ascii="Arial" w:hAnsi="Arial" w:cs="Arial"/>
          <w:sz w:val="22"/>
          <w:szCs w:val="22"/>
          <w:lang/>
        </w:rPr>
        <w:t>SENAC</w:t>
      </w:r>
      <w:r w:rsidRPr="00FD62A0">
        <w:rPr>
          <w:rFonts w:ascii="Arial" w:hAnsi="Arial" w:cs="Arial"/>
          <w:sz w:val="22"/>
          <w:szCs w:val="22"/>
          <w:lang/>
        </w:rPr>
        <w:t>.</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O projeto é baseado em quatro fases distintas, a saber: Recrutamento e seleção; Processo educativo; Atendimento integral; e Inserção dos alunos no mercado de trabalho. Considerando-se as particularidades de cada fase, as mesmas são apresentadas em tópicos separados a seguir.</w:t>
      </w:r>
    </w:p>
    <w:p w:rsidR="003F43C5" w:rsidRPr="00FD62A0" w:rsidRDefault="003F43C5"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b/>
          <w:bCs/>
          <w:sz w:val="22"/>
          <w:szCs w:val="22"/>
          <w:lang/>
        </w:rPr>
      </w:pPr>
      <w:r w:rsidRPr="00FD62A0">
        <w:rPr>
          <w:rFonts w:ascii="Arial" w:hAnsi="Arial" w:cs="Arial"/>
          <w:b/>
          <w:bCs/>
          <w:sz w:val="22"/>
          <w:szCs w:val="22"/>
          <w:lang/>
        </w:rPr>
        <w:t>4.1.1. Recrutamento e Seleção dos Candidatos</w:t>
      </w:r>
    </w:p>
    <w:p w:rsidR="009F0C25" w:rsidRPr="00FD62A0" w:rsidRDefault="009F0C25"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A fase de recrutamento e seleção é o momento em que se busca traçar o perfil dos candidatos a partir da idade, escolaridade, situação familiar, experiências referentes à exploração sexual, identificação com as propostas do projeto, dentre outras características. Considerando-se que o trabalho de seleção envolve parâmetros altamente subjetivos, o profissional responsável deve ser capaz de perceber nos jovens candidatos suas ansiedades, crenças, expectativas, potencialidades e medos </w:t>
      </w:r>
      <w:r w:rsidR="003824C6">
        <w:rPr>
          <w:rFonts w:ascii="Arial" w:hAnsi="Arial" w:cs="Arial"/>
          <w:sz w:val="22"/>
          <w:szCs w:val="22"/>
          <w:lang/>
        </w:rPr>
        <w:t>(Diógenes, 2010)</w:t>
      </w:r>
      <w:r w:rsidRPr="00FD62A0">
        <w:rPr>
          <w:rFonts w:ascii="Arial" w:hAnsi="Arial" w:cs="Arial"/>
          <w:sz w:val="22"/>
          <w:szCs w:val="22"/>
          <w:lang/>
        </w:rPr>
        <w:t>.</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 xml:space="preserve">O processo de recrutamento é desenvolvido por instituições locais, parceiras do projeto. Essas instituições são escolhidas por sua idoneidade e pelo trabalho já desenvolvido no campo de enfrentamento à exploração sexual </w:t>
      </w:r>
      <w:r w:rsidR="00A85E06">
        <w:rPr>
          <w:rFonts w:ascii="Arial" w:hAnsi="Arial" w:cs="Arial"/>
          <w:sz w:val="22"/>
          <w:szCs w:val="22"/>
          <w:lang/>
        </w:rPr>
        <w:t>infantojuvenil</w:t>
      </w:r>
      <w:r w:rsidRPr="00FD62A0">
        <w:rPr>
          <w:rFonts w:ascii="Arial" w:hAnsi="Arial" w:cs="Arial"/>
          <w:sz w:val="22"/>
          <w:szCs w:val="22"/>
          <w:lang/>
        </w:rPr>
        <w:t xml:space="preserve">. A fase de recrutamento compreende visitas domiciliares e cadastramento, incluindo perfil psicossocial de cada candidato. A fase de seleção é composta de 04 etapas, sendo elas: Análise dos cadastros; Dinâmica de grupo, teste psicológico e redação; Entrevista individual e por último a Socialização. O conjunto dessas etapas visa criar o grupo a ser atendido pelo projeto.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 xml:space="preserve">A mobilização e análise dos dados visa identificar o público do </w:t>
      </w:r>
      <w:r w:rsidR="00C02187" w:rsidRPr="00FD62A0">
        <w:rPr>
          <w:rFonts w:ascii="Arial" w:hAnsi="Arial" w:cs="Arial"/>
          <w:sz w:val="22"/>
          <w:szCs w:val="22"/>
          <w:lang/>
        </w:rPr>
        <w:t>ViraVida</w:t>
      </w:r>
      <w:r w:rsidRPr="00FD62A0">
        <w:rPr>
          <w:rFonts w:ascii="Arial" w:hAnsi="Arial" w:cs="Arial"/>
          <w:sz w:val="22"/>
          <w:szCs w:val="22"/>
          <w:lang/>
        </w:rPr>
        <w:t xml:space="preserve">, de acordo com critérios previamente estabelecidos. De acordo com o Projeto </w:t>
      </w:r>
      <w:r w:rsidR="00C02187" w:rsidRPr="00FD62A0">
        <w:rPr>
          <w:rFonts w:ascii="Arial" w:hAnsi="Arial" w:cs="Arial"/>
          <w:sz w:val="22"/>
          <w:szCs w:val="22"/>
          <w:lang/>
        </w:rPr>
        <w:t>ViraVida</w:t>
      </w:r>
      <w:r w:rsidRPr="00FD62A0">
        <w:rPr>
          <w:rFonts w:ascii="Arial" w:hAnsi="Arial" w:cs="Arial"/>
          <w:sz w:val="22"/>
          <w:szCs w:val="22"/>
          <w:lang/>
        </w:rPr>
        <w:t>, as principais características requeridas são: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 estar na faixa etária de </w:t>
      </w:r>
      <w:smartTag w:uri="urn:schemas-microsoft-com:office:smarttags" w:element="metricconverter">
        <w:smartTagPr>
          <w:attr w:name="ProductID" w:val="16 a"/>
        </w:smartTagPr>
        <w:r w:rsidRPr="00FD62A0">
          <w:rPr>
            <w:rFonts w:ascii="Arial" w:hAnsi="Arial" w:cs="Arial"/>
            <w:sz w:val="22"/>
            <w:szCs w:val="22"/>
            <w:lang/>
          </w:rPr>
          <w:t>16 a</w:t>
        </w:r>
      </w:smartTag>
      <w:r w:rsidRPr="00FD62A0">
        <w:rPr>
          <w:rFonts w:ascii="Arial" w:hAnsi="Arial" w:cs="Arial"/>
          <w:sz w:val="22"/>
          <w:szCs w:val="22"/>
          <w:lang/>
        </w:rPr>
        <w:t xml:space="preserve"> 21 anos;</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estar em situação de exploração sexual;</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 estar vinculado a instituições parceiras do </w:t>
      </w:r>
      <w:r w:rsidR="00C02187" w:rsidRPr="00FD62A0">
        <w:rPr>
          <w:rFonts w:ascii="Arial" w:hAnsi="Arial" w:cs="Arial"/>
          <w:sz w:val="22"/>
          <w:szCs w:val="22"/>
          <w:lang/>
        </w:rPr>
        <w:t>ViraVida</w:t>
      </w:r>
      <w:r w:rsidRPr="00FD62A0">
        <w:rPr>
          <w:rFonts w:ascii="Arial" w:hAnsi="Arial" w:cs="Arial"/>
          <w:sz w:val="22"/>
          <w:szCs w:val="22"/>
          <w:lang/>
        </w:rPr>
        <w:t>, seja por meio de atividades sociais ou comunitárias;</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lastRenderedPageBreak/>
        <w:t>- possuir nível de escolaridade compatível com o curso profissionalizante almejado.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r>
      <w:r w:rsidR="00B753E9" w:rsidRPr="00FD62A0">
        <w:rPr>
          <w:rFonts w:ascii="Arial" w:hAnsi="Arial" w:cs="Arial"/>
          <w:sz w:val="22"/>
          <w:szCs w:val="22"/>
          <w:lang/>
        </w:rPr>
        <w:t>As dinâmicas de grupo têm</w:t>
      </w:r>
      <w:r w:rsidRPr="00FD62A0">
        <w:rPr>
          <w:rFonts w:ascii="Arial" w:hAnsi="Arial" w:cs="Arial"/>
          <w:sz w:val="22"/>
          <w:szCs w:val="22"/>
          <w:lang/>
        </w:rPr>
        <w:t xml:space="preserve"> o objetivo de estabelecer situações </w:t>
      </w:r>
      <w:r w:rsidR="00DA39E7">
        <w:rPr>
          <w:rFonts w:ascii="Arial" w:hAnsi="Arial" w:cs="Arial"/>
          <w:sz w:val="22"/>
          <w:szCs w:val="22"/>
          <w:lang/>
        </w:rPr>
        <w:t>nas quais podem ser</w:t>
      </w:r>
      <w:r w:rsidRPr="00FD62A0">
        <w:rPr>
          <w:rFonts w:ascii="Arial" w:hAnsi="Arial" w:cs="Arial"/>
          <w:sz w:val="22"/>
          <w:szCs w:val="22"/>
          <w:lang/>
        </w:rPr>
        <w:t xml:space="preserve"> observa</w:t>
      </w:r>
      <w:r w:rsidR="00DA39E7">
        <w:rPr>
          <w:rFonts w:ascii="Arial" w:hAnsi="Arial" w:cs="Arial"/>
          <w:sz w:val="22"/>
          <w:szCs w:val="22"/>
          <w:lang/>
        </w:rPr>
        <w:t>das</w:t>
      </w:r>
      <w:r w:rsidRPr="00FD62A0">
        <w:rPr>
          <w:rFonts w:ascii="Arial" w:hAnsi="Arial" w:cs="Arial"/>
          <w:sz w:val="22"/>
          <w:szCs w:val="22"/>
          <w:lang/>
        </w:rPr>
        <w:t xml:space="preserve"> as reações dos jovens de forma semelhante ao que se desenvolveria em situações reais. Por meio de atitudes, percepções, relatos, e escolhas individuais ou coletivas dos jovens torna-se possível aos técnicos notar características ligadas à vida cotidiana dos candidatos. Os técnicos responsáveis por essa fase devem ter amplo campo de visão, que permita notar os diversos aspectos relacionados à vida pessoal e comunitária dos futuros alunos.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As dinâmicas são feitas em duas fases: dinâmicas de apresentação e de conhecimento. As de apresentação têm por objetivo estabelecer vínculos entre o grupo, desenvolver canais de comunicação e possibilitar aos técnicos a imagem que os candidatos fazem de si e dos outros. As de conhecimento, por sua vez</w:t>
      </w:r>
      <w:r w:rsidR="00B753E9">
        <w:rPr>
          <w:rFonts w:ascii="Arial" w:hAnsi="Arial" w:cs="Arial"/>
          <w:sz w:val="22"/>
          <w:szCs w:val="22"/>
          <w:lang/>
        </w:rPr>
        <w:t>, obj</w:t>
      </w:r>
      <w:r w:rsidR="00DA39E7">
        <w:rPr>
          <w:rFonts w:ascii="Arial" w:hAnsi="Arial" w:cs="Arial"/>
          <w:sz w:val="22"/>
          <w:szCs w:val="22"/>
          <w:lang/>
        </w:rPr>
        <w:t>e</w:t>
      </w:r>
      <w:r w:rsidR="00B753E9">
        <w:rPr>
          <w:rFonts w:ascii="Arial" w:hAnsi="Arial" w:cs="Arial"/>
          <w:sz w:val="22"/>
          <w:szCs w:val="22"/>
          <w:lang/>
        </w:rPr>
        <w:t>tivam</w:t>
      </w:r>
      <w:r w:rsidRPr="00FD62A0">
        <w:rPr>
          <w:rFonts w:ascii="Arial" w:hAnsi="Arial" w:cs="Arial"/>
          <w:sz w:val="22"/>
          <w:szCs w:val="22"/>
          <w:lang/>
        </w:rPr>
        <w:t xml:space="preserve"> perceber a capacidade dos jovens de trabalhar em grupo, de respeitar as opiniões diversas, a fluência verbal, a capacidade de liderança, entre outros valores.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O passo seguinte nesta etapa é a redação. A aplicação da mesma tem o intuito de analisar as expectativas, sonhos e motivações, além de nivelar os candidatos de acordo com a escolaridade. Como tema, é sugerido que o mesmo envolva a vida do jovem, seus projetos de vida, a dinâmica familiar, ficando o título da redação a cargo da equipe que irá aplicá-la.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O último requisito deste momento é o exame psicológico, realizado por meio de diversos testes a fim de analisar conhecimentos, aptidões e habilidades dos jovens. Este exame visa propiciar aos técnicos a identificação de características emocionais e aspectos sociais, que podem aparecer no momento da seleção.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A terceira etapa da fase de seleção é realizada por meio de entrevista individual com os candidatos. A entrevista visa estabelecer maior nível de conhecimento acerca do jovem, observando-se o ritmo do diálogo, as palavras utilizadas, os silêncios – o que denota suas emoções. A conversação deverá ser norteada por aspectos relacionados à convivência familiar, o lazer e a cultura e a relação com a instituição.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O quarto momento desta fase é a socialização, </w:t>
      </w:r>
      <w:r w:rsidR="00B753E9" w:rsidRPr="00DA39E7">
        <w:rPr>
          <w:rFonts w:ascii="Arial" w:hAnsi="Arial" w:cs="Arial"/>
          <w:sz w:val="22"/>
          <w:szCs w:val="22"/>
          <w:lang/>
        </w:rPr>
        <w:t>aprofundamento</w:t>
      </w:r>
      <w:r w:rsidR="00B753E9">
        <w:rPr>
          <w:rFonts w:ascii="Arial" w:hAnsi="Arial" w:cs="Arial"/>
          <w:sz w:val="22"/>
          <w:szCs w:val="22"/>
          <w:lang/>
        </w:rPr>
        <w:t xml:space="preserve"> das</w:t>
      </w:r>
      <w:r w:rsidRPr="00FD62A0">
        <w:rPr>
          <w:rFonts w:ascii="Arial" w:hAnsi="Arial" w:cs="Arial"/>
          <w:sz w:val="22"/>
          <w:szCs w:val="22"/>
          <w:lang/>
        </w:rPr>
        <w:t xml:space="preserve"> relações estabelecidas nos momentos anteriores. Por meio da socialização os técnicos podem identificar o grau de compromisso e motivação dos jovens, o respeito deles em relação aos demais além da capacidade de lidar com regras e limites estabelecidos pela sociedade.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A última etapa do processo é a definição das turmas e a matrícula dos jovens selecionados. Este é o período em que o </w:t>
      </w:r>
      <w:r w:rsidR="002A1169" w:rsidRPr="00FD62A0">
        <w:rPr>
          <w:rFonts w:ascii="Arial" w:hAnsi="Arial" w:cs="Arial"/>
          <w:sz w:val="22"/>
          <w:szCs w:val="22"/>
          <w:lang/>
        </w:rPr>
        <w:t>SESI</w:t>
      </w:r>
      <w:r w:rsidRPr="00FD62A0">
        <w:rPr>
          <w:rFonts w:ascii="Arial" w:hAnsi="Arial" w:cs="Arial"/>
          <w:sz w:val="22"/>
          <w:szCs w:val="22"/>
          <w:lang/>
        </w:rPr>
        <w:t xml:space="preserve"> divulga os resultados da seleção às </w:t>
      </w:r>
      <w:r w:rsidRPr="00FD62A0">
        <w:rPr>
          <w:rFonts w:ascii="Arial" w:hAnsi="Arial" w:cs="Arial"/>
          <w:sz w:val="22"/>
          <w:szCs w:val="22"/>
          <w:lang/>
        </w:rPr>
        <w:lastRenderedPageBreak/>
        <w:t xml:space="preserve">instituições parceiras e agenda a matrícula dos selecionados. É nesse instante que se inicia o processo pedagógico, propriamente dito.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b/>
          <w:bCs/>
          <w:sz w:val="22"/>
          <w:szCs w:val="22"/>
          <w:lang/>
        </w:rPr>
      </w:pPr>
      <w:r w:rsidRPr="00FD62A0">
        <w:rPr>
          <w:rFonts w:ascii="Arial" w:hAnsi="Arial" w:cs="Arial"/>
          <w:b/>
          <w:bCs/>
          <w:sz w:val="22"/>
          <w:szCs w:val="22"/>
          <w:lang/>
        </w:rPr>
        <w:t>4.1.2. Processo Educativo</w:t>
      </w:r>
    </w:p>
    <w:p w:rsidR="009F0C25" w:rsidRPr="00FD62A0" w:rsidRDefault="009F0C25"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O processo educativo desenvolvido pelo projeto </w:t>
      </w:r>
      <w:r w:rsidR="00C02187" w:rsidRPr="00FD62A0">
        <w:rPr>
          <w:rFonts w:ascii="Arial" w:hAnsi="Arial" w:cs="Arial"/>
          <w:sz w:val="22"/>
          <w:szCs w:val="22"/>
          <w:lang/>
        </w:rPr>
        <w:t>ViraVida</w:t>
      </w:r>
      <w:r w:rsidRPr="00FD62A0">
        <w:rPr>
          <w:rFonts w:ascii="Arial" w:hAnsi="Arial" w:cs="Arial"/>
          <w:sz w:val="22"/>
          <w:szCs w:val="22"/>
          <w:lang/>
        </w:rPr>
        <w:t xml:space="preserve"> trabalha com a noção de que as crianças e jovens tem direito de atuar sobre sua própria história, não devendo ficar à mercê das situações a que são submetidos. Nesse sentido, os professores educadores devem perceber a realidade que circunda a vida desses jovens, colocando-se em situação de empatia com os estudantes.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A perspectiva a ser desenvolvida pelos professores nesse cenário deve ser a de destacar e estimular as habilidades e potenciais dos estudantes, deixando de ressaltar as carências e desmotivações já tão conhecidas por esses jovens. Os valores percebidos na superação dos jovens às situações de abandono, violência ou opressão é que devem permear a proposta pedagógica do projeto.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Segundo o projeto, em um primeiro momento, os educadores devem assumir a postura de proximidade com os estudantes, buscando construir confiança e estabelecer laços afetivos com esses jovens. Para tanto, os professores devem demonstrar real interesse em relação às experiências de vida de seus alunos, confirmando a aceitação frente </w:t>
      </w:r>
      <w:r w:rsidR="00B753E9">
        <w:rPr>
          <w:rFonts w:ascii="Arial" w:hAnsi="Arial" w:cs="Arial"/>
          <w:sz w:val="22"/>
          <w:szCs w:val="22"/>
          <w:lang/>
        </w:rPr>
        <w:t>à</w:t>
      </w:r>
      <w:r w:rsidRPr="00FD62A0">
        <w:rPr>
          <w:rFonts w:ascii="Arial" w:hAnsi="Arial" w:cs="Arial"/>
          <w:sz w:val="22"/>
          <w:szCs w:val="22"/>
          <w:lang/>
        </w:rPr>
        <w:t xml:space="preserve"> diversidade de realidades entre os mesmos.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Em conjunto com esse reconhecimento entre estudantes e professores, vão sendo apresentadas as atividades escolares, que visem estimular a participação, o diálogo, o trabalho individual e coletivo, entre outras atividades que estimulem a socialização dos jovens.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O processo educativo requer gestores envolvidos em diversas áreas do saber, relacionadas à identificação individual e coletiva, como psicologia, pedagogia e sociologia, assim como as relacionadas às áreas profissionalizantes. Essa soma de conhecimentos visa passar aos jovens um conhecimento transversal, ou seja, acrescentar à área especifica de conhecimento de cada professor, valores e conceitos necessários aos jovens. </w:t>
      </w:r>
      <w:r w:rsidR="003824C6">
        <w:rPr>
          <w:rFonts w:ascii="Arial" w:hAnsi="Arial" w:cs="Arial"/>
          <w:sz w:val="22"/>
          <w:szCs w:val="22"/>
          <w:lang/>
        </w:rPr>
        <w:t>(Diógenes, 2010)</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O objetivo central desta fase é desenvolver ações adequadas às capacidades do público-alvo do projeto, potencializando sua formação. A aplicação das aulas fica a cargo das unidades operacionais do </w:t>
      </w:r>
      <w:r w:rsidR="002A1169" w:rsidRPr="00FD62A0">
        <w:rPr>
          <w:rFonts w:ascii="Arial" w:hAnsi="Arial" w:cs="Arial"/>
          <w:sz w:val="22"/>
          <w:szCs w:val="22"/>
          <w:lang/>
        </w:rPr>
        <w:t>SESI</w:t>
      </w:r>
      <w:r w:rsidRPr="00FD62A0">
        <w:rPr>
          <w:rFonts w:ascii="Arial" w:hAnsi="Arial" w:cs="Arial"/>
          <w:sz w:val="22"/>
          <w:szCs w:val="22"/>
          <w:lang/>
        </w:rPr>
        <w:t xml:space="preserve">, </w:t>
      </w:r>
      <w:r w:rsidR="002A1169" w:rsidRPr="00FD62A0">
        <w:rPr>
          <w:rFonts w:ascii="Arial" w:hAnsi="Arial" w:cs="Arial"/>
          <w:sz w:val="22"/>
          <w:szCs w:val="22"/>
          <w:lang/>
        </w:rPr>
        <w:t>SENAI</w:t>
      </w:r>
      <w:r w:rsidRPr="00FD62A0">
        <w:rPr>
          <w:rFonts w:ascii="Arial" w:hAnsi="Arial" w:cs="Arial"/>
          <w:sz w:val="22"/>
          <w:szCs w:val="22"/>
          <w:lang/>
        </w:rPr>
        <w:t xml:space="preserve"> e </w:t>
      </w:r>
      <w:r w:rsidR="002A1169" w:rsidRPr="00FD62A0">
        <w:rPr>
          <w:rFonts w:ascii="Arial" w:hAnsi="Arial" w:cs="Arial"/>
          <w:sz w:val="22"/>
          <w:szCs w:val="22"/>
          <w:lang/>
        </w:rPr>
        <w:t>SENAC</w:t>
      </w:r>
      <w:r w:rsidRPr="00FD62A0">
        <w:rPr>
          <w:rFonts w:ascii="Arial" w:hAnsi="Arial" w:cs="Arial"/>
          <w:sz w:val="22"/>
          <w:szCs w:val="22"/>
          <w:lang/>
        </w:rPr>
        <w:t>. Esse momento do processo educativo é composto por três etapas: planejamento de ensino, desenvolvimento do processo de ensino e avaliação de aprendizagem.</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lastRenderedPageBreak/>
        <w:t xml:space="preserve">Na etapa de planejamento são definidas as ações didático-pedagógicas, assim como a metodologia a ser utilizada. O planejamento deve englobar: </w:t>
      </w:r>
    </w:p>
    <w:p w:rsidR="009F0C25" w:rsidRPr="00FD62A0" w:rsidRDefault="009F0C25" w:rsidP="00BF4427">
      <w:pPr>
        <w:numPr>
          <w:ilvl w:val="0"/>
          <w:numId w:val="2"/>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Informações acerca de jovens e adolescentes sujeitos à exploração sexual comercial: levantamento dos atores e dinâmicas envolvidos no processo de exploração sexual, aglomerando a partir da pesquisa, informações que permitam compreender a situação de exploração sexual na cidade em que o projeto está sendo implantado;</w:t>
      </w:r>
    </w:p>
    <w:p w:rsidR="009F0C25" w:rsidRPr="00FD62A0" w:rsidRDefault="009F0C25" w:rsidP="00BF4427">
      <w:pPr>
        <w:numPr>
          <w:ilvl w:val="0"/>
          <w:numId w:val="2"/>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Levantamento da demanda de mercado para definir os cursos profissionalizantes a serem desenvolvidos: os cursos profissionalizantes devem ser definidos a partir de pesquisa de mercado que demonstre as áreas com demanda de profissionais. A pesquisa de mercado fica cargo do </w:t>
      </w:r>
      <w:r w:rsidR="002A1169" w:rsidRPr="00FD62A0">
        <w:rPr>
          <w:rFonts w:ascii="Arial" w:hAnsi="Arial" w:cs="Arial"/>
          <w:sz w:val="22"/>
          <w:szCs w:val="22"/>
          <w:lang/>
        </w:rPr>
        <w:t>SENAI</w:t>
      </w:r>
      <w:r w:rsidRPr="00FD62A0">
        <w:rPr>
          <w:rFonts w:ascii="Arial" w:hAnsi="Arial" w:cs="Arial"/>
          <w:sz w:val="22"/>
          <w:szCs w:val="22"/>
          <w:lang/>
        </w:rPr>
        <w:t xml:space="preserve">, </w:t>
      </w:r>
      <w:r w:rsidR="002A1169" w:rsidRPr="00FD62A0">
        <w:rPr>
          <w:rFonts w:ascii="Arial" w:hAnsi="Arial" w:cs="Arial"/>
          <w:sz w:val="22"/>
          <w:szCs w:val="22"/>
          <w:lang/>
        </w:rPr>
        <w:t>SENAC</w:t>
      </w:r>
      <w:r w:rsidRPr="00FD62A0">
        <w:rPr>
          <w:rFonts w:ascii="Arial" w:hAnsi="Arial" w:cs="Arial"/>
          <w:sz w:val="22"/>
          <w:szCs w:val="22"/>
          <w:lang/>
        </w:rPr>
        <w:t>, SINE e do Ministério do Trabalho e Emprego;</w:t>
      </w:r>
    </w:p>
    <w:p w:rsidR="009F0C25" w:rsidRPr="00FD62A0" w:rsidRDefault="009F0C25" w:rsidP="00BF4427">
      <w:pPr>
        <w:numPr>
          <w:ilvl w:val="0"/>
          <w:numId w:val="2"/>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Elaboração dos planos de cursos: os planos de curso são desenvolvidos de forma a atender às expectativas dos alunos e às demandas do mercado de trabalho. Para seu desenvolvimento, é considerada a escolaridade dos participantes, não para fins de eliminação de candidatos, mas para nivelamento dos jovens, possibilitando maior aproveitamento a todas as turmas;</w:t>
      </w:r>
    </w:p>
    <w:p w:rsidR="009F0C25" w:rsidRPr="00FD62A0" w:rsidRDefault="009F0C25" w:rsidP="00BF4427">
      <w:pPr>
        <w:numPr>
          <w:ilvl w:val="0"/>
          <w:numId w:val="2"/>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Construção da organização curricular: a organização curricular foca em criar uma grade que permita desenvolver as diversas áreas de conhecimento, com base em cada perfil profissional. Para tanto, a mesma deve contemplar: a denominação do curso, sua carga horária, componentes curriculares, professores, unidades curriculares, entre outros aspectos;</w:t>
      </w:r>
    </w:p>
    <w:p w:rsidR="009F0C25" w:rsidRPr="00FD62A0" w:rsidRDefault="009F0C25" w:rsidP="00BF4427">
      <w:pPr>
        <w:numPr>
          <w:ilvl w:val="0"/>
          <w:numId w:val="2"/>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 Elaboração dos planos de aula: o plano de aula é o documento que norteará o trabalho desenvolvido pelos docentes, devendo ser condizente com o que foi pré estabelecido no plano de curso e na organização curricular. </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 A etapa denominada desenvolvimento do processo de ensino refere-se à aplicação dos cursos propriamente dita, sendo eles divididos em módulos de educação profissional, educação continuada e autogestão. Os cursos não são sujeitos à regulamentação curricular, devendo possuir carga horária compatível com o perfil profissional desejado. Os cursos oferecidos pelo projeto são diversos. Os que estão sendo desenvolvidos em Fortaleza especificamente são: Produção de eventos, criação e moda, costura moda íntima e praia, comunicação digital, cozinheiro/gastronomia, auxiliar administrativo/recepção, auxiliar administrativo industrial.</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Os estudantes do Projeto possuem escolaridade diversa, desde a 5ª série do ensino fundamental até o 2º grau completo. A delimitação da escolaridade serve apenas como limite para separação dos alunos nas turmas e não como critério de corte. Para possibilitar menor evasão possível dos estudantes, o projeto disponibiliza todo o material necessário: uniforme, transporte, material didático, lanche e ajuda de custo.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lastRenderedPageBreak/>
        <w:t>Cabe aos docentes desenvolverem atividades que estimulem a participação dos alunos, considerando para tanto seus interesses e experiências. Além disso, compete aos professores desenvolvimento de material didático, indicação de bibliografia, acompanhamento de rendimento e frequência dos alunos, alterando seu plano de aula quando necessário.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Além da atuação dos docentes, no andamento dos cursos estabelecidos pelo </w:t>
      </w:r>
      <w:r w:rsidR="00C02187" w:rsidRPr="00FD62A0">
        <w:rPr>
          <w:rFonts w:ascii="Arial" w:hAnsi="Arial" w:cs="Arial"/>
          <w:sz w:val="22"/>
          <w:szCs w:val="22"/>
          <w:lang/>
        </w:rPr>
        <w:t>ViraVida</w:t>
      </w:r>
      <w:r w:rsidRPr="00FD62A0">
        <w:rPr>
          <w:rFonts w:ascii="Arial" w:hAnsi="Arial" w:cs="Arial"/>
          <w:sz w:val="22"/>
          <w:szCs w:val="22"/>
          <w:lang/>
        </w:rPr>
        <w:t>, destaca-se ainda a atuação da equipe multidisciplinar, da secretaria escolar e do conselho. A equipe multidisciplinar é composta por psicólogo, pedagogo e assistente social, sendo responsável pelo acompanhamento dos cursos, por meio da orientação dos docentes, mediação de conflitos, supervisão pedagógica, entre outros atributos. À secretaria escolar compete cadastrar os alunos e abrir as turmas, emitir os certificados. O conselho, por sua vez, deve acompanhar e avaliar o progresso escolar dos estudantes, sendo composto pelos professores da educação básica, profissional, equipe técnica e coordenadores.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Concluindo esta fase de sistematização do processo educativo, vem a etapa de avaliação de aprendizagem. Esta tem o objetivo de visualizar os resultados dos cursos, possibilitando assim a melhoria do ensino através da correção de indicadores negativos.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A partir dos resultados obtidos nas avaliações, as unidades de ensino devem discuti-los com os alunos, a fim de comparar os resultados esperados e os obtidos. Aos estudantes que não alcancem inicialmente resultado satisfatório, existe a possibilidade de recuperação, por meio de atividades presenciais ou à distância.</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Ao final dos cursos, os estudantes recebem o certificado de conclusão. Após a certificação, é feito acompanhamento com esses jovens, a fim de observar a empregabilidade dos mesmos.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b/>
          <w:sz w:val="22"/>
          <w:szCs w:val="22"/>
          <w:lang/>
        </w:rPr>
      </w:pPr>
      <w:r w:rsidRPr="00FD62A0">
        <w:rPr>
          <w:rFonts w:ascii="Arial" w:hAnsi="Arial" w:cs="Arial"/>
          <w:b/>
          <w:sz w:val="22"/>
          <w:szCs w:val="22"/>
          <w:lang/>
        </w:rPr>
        <w:t>4.1.3. Atendimento integral</w:t>
      </w:r>
    </w:p>
    <w:p w:rsidR="009F0C25" w:rsidRPr="00FD62A0" w:rsidRDefault="009F0C25"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Esta fase visa à construção, promoção e defesa dos direitos da criança e do adolescente. Para possibilitar o avanço desses direitos, a autora destaca a importância da gestão em rede, vista como uma estratégia tanto do setor público quanto do setor privado, na tentativa de estabelecer sincronismo e transversalidade das ações tomadas pelos diversos indivíduos e organizações.</w:t>
      </w:r>
    </w:p>
    <w:p w:rsidR="009F0C25" w:rsidRPr="00FD62A0" w:rsidRDefault="009F0C25"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 xml:space="preserve">Seguindo essa concepção, o Estatuto da Criança e do Adolescente define em seu artigo 90º, </w:t>
      </w:r>
    </w:p>
    <w:p w:rsidR="00FF3D91" w:rsidRPr="00CD409D" w:rsidRDefault="00FF3D91" w:rsidP="00FF3D91">
      <w:pPr>
        <w:autoSpaceDE w:val="0"/>
        <w:autoSpaceDN w:val="0"/>
        <w:adjustRightInd w:val="0"/>
        <w:spacing w:line="360" w:lineRule="auto"/>
        <w:ind w:left="709"/>
        <w:jc w:val="both"/>
        <w:rPr>
          <w:rFonts w:ascii="Arial" w:hAnsi="Arial" w:cs="Arial"/>
          <w:color w:val="000000"/>
          <w:sz w:val="20"/>
          <w:szCs w:val="20"/>
        </w:rPr>
      </w:pPr>
      <w:r w:rsidRPr="00CD409D">
        <w:rPr>
          <w:rFonts w:ascii="Arial" w:hAnsi="Arial" w:cs="Arial"/>
          <w:sz w:val="20"/>
          <w:szCs w:val="20"/>
        </w:rPr>
        <w:t>Art. 90. As entidades de atendimento são responsáveis pela manutenção das próprias unidades, assim como pelo planejamento e execução de programas de proteção e sócio-educativos destinados a crianças e adolescentes (...)</w:t>
      </w:r>
      <w:r w:rsidR="006C1886">
        <w:rPr>
          <w:rFonts w:ascii="Arial" w:hAnsi="Arial" w:cs="Arial"/>
          <w:sz w:val="20"/>
          <w:szCs w:val="20"/>
        </w:rPr>
        <w:t xml:space="preserve"> </w:t>
      </w:r>
      <w:r w:rsidRPr="00CD409D">
        <w:rPr>
          <w:rFonts w:ascii="Arial" w:hAnsi="Arial" w:cs="Arial"/>
          <w:color w:val="000000"/>
          <w:sz w:val="20"/>
          <w:szCs w:val="20"/>
        </w:rPr>
        <w:t xml:space="preserve">As entidades governamentais e não </w:t>
      </w:r>
      <w:r w:rsidRPr="00CD409D">
        <w:rPr>
          <w:rFonts w:ascii="Arial" w:hAnsi="Arial" w:cs="Arial"/>
          <w:color w:val="000000"/>
          <w:sz w:val="20"/>
          <w:szCs w:val="20"/>
        </w:rPr>
        <w:lastRenderedPageBreak/>
        <w:t>governamentais deverão proceder à inscrição de seus programas, especificando os regimes de atendimento, na forma definida neste artigo, no Conselho Municipal dos Direitos da Criança e do Adolescente, o qual manterá registro das inscrições e de suas alterações, do que fará comunicação ao Conselho Tutelar e à autoridade judiciária (Estatuto da Criança e do Adolescente, 1990)</w:t>
      </w:r>
    </w:p>
    <w:p w:rsidR="00EF2164" w:rsidRPr="00FD62A0" w:rsidRDefault="00EF2164"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Tal artigo é interpretado na publicação "Encontros pela justiça na educação", como sendo:</w:t>
      </w:r>
    </w:p>
    <w:p w:rsidR="009F0C25" w:rsidRPr="00CD409D" w:rsidRDefault="009F0C25" w:rsidP="00FF3D91">
      <w:pPr>
        <w:autoSpaceDE w:val="0"/>
        <w:autoSpaceDN w:val="0"/>
        <w:adjustRightInd w:val="0"/>
        <w:spacing w:line="360" w:lineRule="auto"/>
        <w:ind w:left="709" w:firstLine="567"/>
        <w:jc w:val="both"/>
        <w:rPr>
          <w:rFonts w:ascii="Arial" w:hAnsi="Arial" w:cs="Arial"/>
          <w:sz w:val="20"/>
          <w:szCs w:val="20"/>
          <w:lang/>
        </w:rPr>
      </w:pPr>
      <w:r w:rsidRPr="00CD409D">
        <w:rPr>
          <w:rFonts w:ascii="Arial" w:hAnsi="Arial" w:cs="Arial"/>
          <w:sz w:val="20"/>
          <w:szCs w:val="20"/>
          <w:lang/>
        </w:rPr>
        <w:t>O atendimento tanto na área de proteção quanto na área sócio-educativa será prestado por entidades e programas nas áreas que especifica, complementando o substrato legal que, embora com limitada sistematicidade, fundamenta atuação integrada dos serviços de atendimento a que se passará a denominar ora de “Sistema de Garantia de Direitos”, ora de “Rede de Atendimento” ou “Rede de Retaguardas”...</w:t>
      </w:r>
    </w:p>
    <w:p w:rsidR="009F0C25" w:rsidRPr="00FD62A0" w:rsidRDefault="009F0C25"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O Sistema de Garantia de Direitos, balizado nos princípios de atuação em redes, penetrabilidade dos efeitos das novas tecnologias e flexibilidade, é o conjunto das instituições – família, organizações da sociedade, Conselhos de Direitos, Conselhos Tutelares além de diversas outras instâncias do poder público – que visam à promoção e defesa dos direitos de crianças e adolescentes.  Esse conjunto de unidades é responsável pelo atendimento às crianças e suas famílias, no intuito de lhes fornecer proteção integral, conforme previsto no Estatuto da Criança e do Adolescente e na Constituição Federal.</w:t>
      </w:r>
    </w:p>
    <w:p w:rsidR="009F0C25" w:rsidRPr="00FD62A0" w:rsidRDefault="009F0C25"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A atuação do sistema é baseada na promoção, defesa e controle social dos direitos infanto-juvenis. A promoção é feita através do desenvolvimento de políticas públicas e sociais, possibilitando real acesso e participação de seus usuários. A defesa estabelece-se na responsabilização das unidades envolvidas: estado, família e sociedade, por meio de denúncias de violação dos direitos fundamentais, tornando possível a aplicação das medidas legais de proteção. O controle social refere-se à observância dos direitos, por meio da participação da sociedade e representantes do poder executivo, no intuito de desenvolver ambiente propício à discussão e elaboração de políticas que foquem nas crianças e adolescentes e suas famílias</w:t>
      </w:r>
    </w:p>
    <w:p w:rsidR="009F0C25" w:rsidRPr="00FD62A0" w:rsidRDefault="009F0C25"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 xml:space="preserve">Nesse aspecto do atendimento integral, o </w:t>
      </w:r>
      <w:r w:rsidR="00C02187" w:rsidRPr="00FD62A0">
        <w:rPr>
          <w:rFonts w:ascii="Arial" w:hAnsi="Arial" w:cs="Arial"/>
          <w:sz w:val="22"/>
          <w:szCs w:val="22"/>
          <w:lang/>
        </w:rPr>
        <w:t>ViraVida</w:t>
      </w:r>
      <w:r w:rsidRPr="00FD62A0">
        <w:rPr>
          <w:rFonts w:ascii="Arial" w:hAnsi="Arial" w:cs="Arial"/>
          <w:sz w:val="22"/>
          <w:szCs w:val="22"/>
          <w:lang/>
        </w:rPr>
        <w:t xml:space="preserve"> propõe atendimento psicossocial, abordando inicialmente o diagnóstico, possibilitando conhecimento mais concreto acerca da história de vida do jovem. Esse diagnóstico é realizado por meio de atendimento individualizado e atendimento coletivo. Tais momentos são realizados por moderador, que tem o intuito de se aproximar dos jovens, deixando-os confortáveis para falar sobre suas histórias e sentimentos.</w:t>
      </w:r>
    </w:p>
    <w:p w:rsidR="009F0C25" w:rsidRPr="00FD62A0" w:rsidRDefault="009F0C25"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 xml:space="preserve">O moderador deve reunir qualidades como empatia, atenção e autocontrole, a fim de conduzir os debates com diversos pontos de vista, levando ao maior aproveitamento possível. Os debates devem permitir a discussão sadia, onde todos tenham a oportunidade </w:t>
      </w:r>
      <w:r w:rsidRPr="00FD62A0">
        <w:rPr>
          <w:rFonts w:ascii="Arial" w:hAnsi="Arial" w:cs="Arial"/>
          <w:sz w:val="22"/>
          <w:szCs w:val="22"/>
          <w:lang/>
        </w:rPr>
        <w:lastRenderedPageBreak/>
        <w:t>de expor seus sentimentos e onde os jovens possam trocar experiências. Após esta etapa, torna-se possível através da análise dos dados, desenvolver o plano de ação psicossocial, que é focado em cada pessoa individualmente, suas escolhas e sua postura perante a vida.</w:t>
      </w:r>
    </w:p>
    <w:p w:rsidR="009F0C25" w:rsidRPr="00FD62A0" w:rsidRDefault="009F0C25"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Entre as atividades desenvolvidas dentro da fase de atendimento integral, constam aquelas destinadas aos jovens, individual ou coletivamente, e as demais voltadas aos familiares. São elas: escuta qualificada, atividades sócio-educativas, grupos de encontro, atividades de estímulo à convivência familiar e comunitária, encontros com familiares, rodas de conversa visitas domiciliares e atendimentos individuais aos pais e/ou responsáveis e atendimento de saúde.</w:t>
      </w:r>
    </w:p>
    <w:p w:rsidR="009F0C25" w:rsidRPr="00FD62A0" w:rsidRDefault="009F0C25"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No momento de conclusão dos cursos são monitorados os indicadores de desempenho dos jovens. Os indicadores de impacto permitirão, no prazo médio de cinco anos, medir as mudanças sociais e comportamentais, positivas ou negativas, ocorridas na vida dos jovens desde sua entrada no projeto. Como indicadores para estudo de impacto pode-se citar:</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permanência/evasão;</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certificação/reprovação;</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xml:space="preserve">- situação de afastamento ou não da Rede de Exploração </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inserção no mundo de trabalho (autônomo, carteira assinada);</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fortalecimento dos vínculos familiares;</w:t>
      </w:r>
    </w:p>
    <w:p w:rsidR="009F0C25" w:rsidRPr="00CD409D" w:rsidRDefault="009F0C25" w:rsidP="00BF4427">
      <w:pPr>
        <w:autoSpaceDE w:val="0"/>
        <w:autoSpaceDN w:val="0"/>
        <w:adjustRightInd w:val="0"/>
        <w:spacing w:line="360" w:lineRule="auto"/>
        <w:ind w:left="851" w:hanging="142"/>
        <w:jc w:val="both"/>
        <w:rPr>
          <w:rFonts w:ascii="Arial" w:hAnsi="Arial" w:cs="Arial"/>
          <w:sz w:val="20"/>
          <w:szCs w:val="20"/>
          <w:lang/>
        </w:rPr>
      </w:pPr>
      <w:r w:rsidRPr="00CD409D">
        <w:rPr>
          <w:rFonts w:ascii="Arial" w:hAnsi="Arial" w:cs="Arial"/>
          <w:sz w:val="20"/>
          <w:szCs w:val="20"/>
          <w:lang/>
        </w:rPr>
        <w:t>- eliminação ou diminuição de dependência química (redução de danos, mudança em relação ao uso de drogas.</w:t>
      </w:r>
    </w:p>
    <w:p w:rsidR="009F0C25" w:rsidRPr="00CD409D" w:rsidRDefault="003824C6" w:rsidP="00BF4427">
      <w:pPr>
        <w:autoSpaceDE w:val="0"/>
        <w:autoSpaceDN w:val="0"/>
        <w:adjustRightInd w:val="0"/>
        <w:spacing w:line="360" w:lineRule="auto"/>
        <w:ind w:left="851" w:hanging="142"/>
        <w:jc w:val="both"/>
        <w:rPr>
          <w:rFonts w:ascii="Arial" w:hAnsi="Arial" w:cs="Arial"/>
          <w:sz w:val="20"/>
          <w:szCs w:val="20"/>
          <w:lang/>
        </w:rPr>
      </w:pPr>
      <w:r>
        <w:rPr>
          <w:rFonts w:ascii="Arial" w:hAnsi="Arial" w:cs="Arial"/>
          <w:sz w:val="20"/>
          <w:szCs w:val="20"/>
          <w:lang/>
        </w:rPr>
        <w:t>(Diógenes, 2010)</w:t>
      </w:r>
    </w:p>
    <w:p w:rsidR="009F0C25" w:rsidRPr="00FD62A0" w:rsidRDefault="009F0C25" w:rsidP="00BF4427">
      <w:pPr>
        <w:autoSpaceDE w:val="0"/>
        <w:autoSpaceDN w:val="0"/>
        <w:adjustRightInd w:val="0"/>
        <w:spacing w:line="360" w:lineRule="auto"/>
        <w:ind w:firstLine="709"/>
        <w:jc w:val="both"/>
        <w:rPr>
          <w:rFonts w:ascii="Arial" w:hAnsi="Arial" w:cs="Arial"/>
          <w:sz w:val="22"/>
          <w:szCs w:val="22"/>
          <w:lang/>
        </w:rPr>
      </w:pPr>
      <w:r w:rsidRPr="00FD62A0">
        <w:rPr>
          <w:rFonts w:ascii="Arial" w:hAnsi="Arial" w:cs="Arial"/>
          <w:sz w:val="22"/>
          <w:szCs w:val="22"/>
          <w:lang/>
        </w:rPr>
        <w:t>Os indicadores de desempenho focam o desenvolvimento educativo dos jovens. Medem o nível de preparo dos jovens, por meio da mensuração de suas atitudes, conhecimentos e habilidades. São eles:</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cumprimento das regras de conduta e convivência em grupo;</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xml:space="preserve">- preocupação com a imagem pessoal, </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reação diante de conflitos;</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projeção de futuro;</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domínio das informações tecnológicas da ocupação profissional;</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conhecimentos condizentes com o grau de escolaridade;</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compreensão dos requisitos do mercado de trabalho;</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capacidade de utilização dos meios disponíveis à ocupação profissional;</w:t>
      </w:r>
    </w:p>
    <w:p w:rsidR="009F0C25" w:rsidRPr="00CD409D" w:rsidRDefault="009F0C25" w:rsidP="00BF4427">
      <w:pPr>
        <w:autoSpaceDE w:val="0"/>
        <w:autoSpaceDN w:val="0"/>
        <w:adjustRightInd w:val="0"/>
        <w:spacing w:line="360" w:lineRule="auto"/>
        <w:ind w:firstLine="709"/>
        <w:jc w:val="both"/>
        <w:rPr>
          <w:rFonts w:ascii="Arial" w:hAnsi="Arial" w:cs="Arial"/>
          <w:sz w:val="20"/>
          <w:szCs w:val="20"/>
          <w:lang/>
        </w:rPr>
      </w:pPr>
      <w:r w:rsidRPr="00CD409D">
        <w:rPr>
          <w:rFonts w:ascii="Arial" w:hAnsi="Arial" w:cs="Arial"/>
          <w:sz w:val="20"/>
          <w:szCs w:val="20"/>
          <w:lang/>
        </w:rPr>
        <w:t>- capacidade de controlar e organizar o orçamento pessoal;</w:t>
      </w:r>
    </w:p>
    <w:p w:rsidR="009F0C25" w:rsidRPr="00CD409D" w:rsidRDefault="009F0C25" w:rsidP="00BF4427">
      <w:pPr>
        <w:autoSpaceDE w:val="0"/>
        <w:autoSpaceDN w:val="0"/>
        <w:adjustRightInd w:val="0"/>
        <w:spacing w:line="360" w:lineRule="auto"/>
        <w:ind w:firstLine="709"/>
        <w:rPr>
          <w:rFonts w:ascii="Arial" w:hAnsi="Arial" w:cs="Arial"/>
          <w:sz w:val="20"/>
          <w:szCs w:val="20"/>
          <w:lang/>
        </w:rPr>
      </w:pPr>
      <w:r w:rsidRPr="00CD409D">
        <w:rPr>
          <w:rFonts w:ascii="Arial" w:hAnsi="Arial" w:cs="Arial"/>
          <w:sz w:val="20"/>
          <w:szCs w:val="20"/>
          <w:lang/>
        </w:rPr>
        <w:t>- capacidade de execução de atividades pertinentes à ocupação profissional.</w:t>
      </w:r>
    </w:p>
    <w:p w:rsidR="009F0C25" w:rsidRPr="00CD409D" w:rsidRDefault="003824C6" w:rsidP="00BF4427">
      <w:pPr>
        <w:autoSpaceDE w:val="0"/>
        <w:autoSpaceDN w:val="0"/>
        <w:adjustRightInd w:val="0"/>
        <w:spacing w:line="360" w:lineRule="auto"/>
        <w:ind w:left="851" w:hanging="142"/>
        <w:jc w:val="both"/>
        <w:rPr>
          <w:rFonts w:ascii="Arial" w:hAnsi="Arial" w:cs="Arial"/>
          <w:sz w:val="20"/>
          <w:szCs w:val="20"/>
          <w:lang/>
        </w:rPr>
      </w:pPr>
      <w:r>
        <w:rPr>
          <w:rFonts w:ascii="Arial" w:hAnsi="Arial" w:cs="Arial"/>
          <w:sz w:val="20"/>
          <w:szCs w:val="20"/>
          <w:lang/>
        </w:rPr>
        <w:t>(Diógenes, 2010)</w:t>
      </w:r>
    </w:p>
    <w:p w:rsidR="00C02187" w:rsidRPr="00FD62A0" w:rsidRDefault="00C02187" w:rsidP="00BF4427">
      <w:pPr>
        <w:autoSpaceDE w:val="0"/>
        <w:autoSpaceDN w:val="0"/>
        <w:adjustRightInd w:val="0"/>
        <w:spacing w:line="360" w:lineRule="auto"/>
        <w:ind w:left="851" w:hanging="142"/>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b/>
          <w:bCs/>
          <w:sz w:val="22"/>
          <w:szCs w:val="22"/>
          <w:lang/>
        </w:rPr>
      </w:pPr>
      <w:r w:rsidRPr="00FD62A0">
        <w:rPr>
          <w:rFonts w:ascii="Arial" w:hAnsi="Arial" w:cs="Arial"/>
          <w:b/>
          <w:bCs/>
          <w:sz w:val="22"/>
          <w:szCs w:val="22"/>
          <w:lang/>
        </w:rPr>
        <w:lastRenderedPageBreak/>
        <w:t>4.1.4. Inserção no mercado de trabalho</w:t>
      </w:r>
    </w:p>
    <w:p w:rsidR="009F0C25" w:rsidRPr="00FD62A0" w:rsidRDefault="009F0C25"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A finalização das atividades do projeto </w:t>
      </w:r>
      <w:r w:rsidR="00C02187" w:rsidRPr="00FD62A0">
        <w:rPr>
          <w:rFonts w:ascii="Arial" w:hAnsi="Arial" w:cs="Arial"/>
          <w:sz w:val="22"/>
          <w:szCs w:val="22"/>
          <w:lang/>
        </w:rPr>
        <w:t>ViraVida</w:t>
      </w:r>
      <w:r w:rsidRPr="00FD62A0">
        <w:rPr>
          <w:rFonts w:ascii="Arial" w:hAnsi="Arial" w:cs="Arial"/>
          <w:sz w:val="22"/>
          <w:szCs w:val="22"/>
          <w:lang/>
        </w:rPr>
        <w:t xml:space="preserve"> se dá com a inserção dos jovens no mercado de trabalho. Essa necessidade decorre do interesse inicial dos formuladores do projeto, de assegurar aos jovens, meios de se manterem, tornando-se assim menos vulneráveis às redes de exploração sexual.</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Durante o decorrer dos cursos, o Sistema S foi responsável por viabilizar o acesso dos jovens ao processo produtivo. Considerando-se que o foco do projeto é nos adolescentes e jovens, as atividades profissionais devem ser capazes de despertar o interesse dos estudantes. Nesse sentido, torna-se necessário angariar parceiros entre empresas e instituições, que assegurem aos formandos uma continuidade após a conclusão do curso.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 Coube ao Conselho Nacional do </w:t>
      </w:r>
      <w:r w:rsidR="002A1169" w:rsidRPr="00FD62A0">
        <w:rPr>
          <w:rFonts w:ascii="Arial" w:hAnsi="Arial" w:cs="Arial"/>
          <w:sz w:val="22"/>
          <w:szCs w:val="22"/>
          <w:lang/>
        </w:rPr>
        <w:t>SESI</w:t>
      </w:r>
      <w:r w:rsidRPr="00FD62A0">
        <w:rPr>
          <w:rFonts w:ascii="Arial" w:hAnsi="Arial" w:cs="Arial"/>
          <w:sz w:val="22"/>
          <w:szCs w:val="22"/>
          <w:lang/>
        </w:rPr>
        <w:t xml:space="preserve"> estabelecer tais parcerias com entidades de alcance nacional, como Banco do Brasil, Caixa Econômica Federal e Banco do Nordeste. Estas possibilitaram ingresso de cerca de 50% dos jovens no mercado de trabalho, na condição de aprendiz. Outras entidades e instituições também aderiram à forma de responsabilidade social, proposta no projeto.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Além do trabalho nas instituições parceiras, uma vertente de destaque dentro do projeto é o estímulo à autogestão. Parte dos jovens tem o desejo de abrir seu próprio negócio, e para tanto, no decorrer do curso, os educadores devem buscar estimular as características desses jovens, que lhes possibilite o sucesso em sua gestão. </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Apesar da cooperação de diversas entidades, a oferta de empregos não alcança as reais necessidades dos jovens. Não se trata apenas de oferecer emprego, mas também assegurar diversos direitos relacionados à cidadania. A ofer</w:t>
      </w:r>
      <w:r w:rsidR="006C1886">
        <w:rPr>
          <w:rFonts w:ascii="Arial" w:hAnsi="Arial" w:cs="Arial"/>
          <w:sz w:val="22"/>
          <w:szCs w:val="22"/>
          <w:lang/>
        </w:rPr>
        <w:t>ta de emprego a esses formandos</w:t>
      </w:r>
      <w:r w:rsidRPr="00FD62A0">
        <w:rPr>
          <w:rFonts w:ascii="Arial" w:hAnsi="Arial" w:cs="Arial"/>
          <w:sz w:val="22"/>
          <w:szCs w:val="22"/>
          <w:lang/>
        </w:rPr>
        <w:t xml:space="preserve"> deve estar voltada à diminuição das desigualdades sociais e da responsabilidade social.</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Entre os principais problemas relacionados ao ingresso no mercado de trabalho está a realidade dos jovens, marcada pela constante falta de oportunidades. A falta de preparo dos estudantes, em contraste com as exigências do mercado de trabalho, demarca claramente a segregação social percebida na perda de vínculos e na descrença dos jovens em relação a um futuro promissor</w:t>
      </w:r>
      <w:r w:rsidR="00D1349B">
        <w:rPr>
          <w:rFonts w:ascii="Arial" w:hAnsi="Arial" w:cs="Arial"/>
          <w:sz w:val="22"/>
          <w:szCs w:val="22"/>
          <w:lang/>
        </w:rPr>
        <w:t>.</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A partir dessas dificuldades encontradas inicialmente, tornou-se possível a verificação das falhas, e sua posterior correção, permitindo maior eficácia na criação de oportunidades aos jovens, tanto na profissionalização quanto na autogestão. Como recomendações dos gestores do projeto, estão: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lastRenderedPageBreak/>
        <w:t>- A importância do encaminhamento para emprego formal, remodelando e ampliando os itinerários da formação de parcerias;</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ampliação das estratégias de autogestão;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ações de revitalização das identidades culturais e lúdicas através de alternativas empreendedoras, com foco na família, gênero e raça.</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Incentivo ao empreendedorismo e a inovação.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 xml:space="preserve">No decorrer das informações sobre o Projeto, é possível apreender que o mesmo visa não apenas oferecer alternativas paleativas à exploração sexual </w:t>
      </w:r>
      <w:r w:rsidR="00A85E06">
        <w:rPr>
          <w:rFonts w:ascii="Arial" w:hAnsi="Arial" w:cs="Arial"/>
          <w:sz w:val="22"/>
          <w:szCs w:val="22"/>
          <w:lang/>
        </w:rPr>
        <w:t>infantojuvenil</w:t>
      </w:r>
      <w:r w:rsidRPr="00FD62A0">
        <w:rPr>
          <w:rFonts w:ascii="Arial" w:hAnsi="Arial" w:cs="Arial"/>
          <w:sz w:val="22"/>
          <w:szCs w:val="22"/>
          <w:lang/>
        </w:rPr>
        <w:t xml:space="preserve">. O </w:t>
      </w:r>
      <w:r w:rsidR="00C02187" w:rsidRPr="00FD62A0">
        <w:rPr>
          <w:rFonts w:ascii="Arial" w:hAnsi="Arial" w:cs="Arial"/>
          <w:sz w:val="22"/>
          <w:szCs w:val="22"/>
          <w:lang/>
        </w:rPr>
        <w:t>ViraVida</w:t>
      </w:r>
      <w:r w:rsidRPr="00FD62A0">
        <w:rPr>
          <w:rFonts w:ascii="Arial" w:hAnsi="Arial" w:cs="Arial"/>
          <w:sz w:val="22"/>
          <w:szCs w:val="22"/>
          <w:lang/>
        </w:rPr>
        <w:t xml:space="preserve"> está ordenado do início ao fim no intuito de tirar as crianças e jovens da situação de exploração sexual, assim como de possibilitar o reingresso dos jovens à sociedade da qual estavam marginalizados, tanto por meio dos estudos, quanto através da inserção no mercado de trabalho.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 xml:space="preserve">Da organização para os resultados práticos, são apresentados a seguir os resultados e prospecções do projeto, com base na amostragem referente à última turma formada. </w:t>
      </w:r>
    </w:p>
    <w:p w:rsidR="009F0C25" w:rsidRPr="00FD62A0" w:rsidRDefault="009F0C25" w:rsidP="00BF4427">
      <w:pPr>
        <w:autoSpaceDE w:val="0"/>
        <w:autoSpaceDN w:val="0"/>
        <w:adjustRightInd w:val="0"/>
        <w:spacing w:line="360" w:lineRule="auto"/>
        <w:rPr>
          <w:sz w:val="22"/>
          <w:szCs w:val="22"/>
          <w:lang/>
        </w:rPr>
      </w:pPr>
    </w:p>
    <w:p w:rsidR="009F0C25" w:rsidRPr="00FD62A0" w:rsidRDefault="009F0C25" w:rsidP="00BF4427">
      <w:pPr>
        <w:autoSpaceDE w:val="0"/>
        <w:autoSpaceDN w:val="0"/>
        <w:adjustRightInd w:val="0"/>
        <w:spacing w:line="360" w:lineRule="auto"/>
        <w:jc w:val="both"/>
        <w:rPr>
          <w:rFonts w:ascii="Arial" w:hAnsi="Arial" w:cs="Arial"/>
          <w:b/>
          <w:sz w:val="22"/>
          <w:szCs w:val="22"/>
          <w:lang/>
        </w:rPr>
      </w:pPr>
      <w:r w:rsidRPr="00FD62A0">
        <w:rPr>
          <w:rFonts w:ascii="Arial" w:hAnsi="Arial" w:cs="Arial"/>
          <w:b/>
          <w:sz w:val="22"/>
          <w:szCs w:val="22"/>
          <w:lang/>
        </w:rPr>
        <w:t>4.1.5. Resultados:</w:t>
      </w:r>
    </w:p>
    <w:p w:rsidR="009F0C25" w:rsidRPr="00FD62A0" w:rsidRDefault="009F0C25"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Ao final dos cursos, é possível notar baixo grau de evasão. Considerando-se a turma de 110 alunos, 91 se formaram e 19 abandonaram o curso antes da conclusão, retornaram à exploração sexual. Isso significa dizer que os cursos tiveram grande alcance junto aos jovens, correspondendo a seus anseios e expectativas.</w:t>
      </w:r>
    </w:p>
    <w:p w:rsidR="003A24C7" w:rsidRPr="00FD62A0" w:rsidRDefault="003A24C7"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Entre os 91 que se formaram, 64 foram inseridos com sucesso no mercado de trabalho, conforme verificado no gráfico abaixo. Do grupo de 27 alunos restantes, 20 participam de processos seletivos de empresas, 3 estão em tratamento de dependência química, 2 decidiram mudar de área e participar de outros cursos, 1 retornou à situação de exploração sexual, 1 mudou-se com a família para outra região do País,</w:t>
      </w:r>
    </w:p>
    <w:p w:rsidR="003F43C5" w:rsidRDefault="003F43C5" w:rsidP="00BF4427">
      <w:pPr>
        <w:autoSpaceDE w:val="0"/>
        <w:autoSpaceDN w:val="0"/>
        <w:adjustRightInd w:val="0"/>
        <w:spacing w:line="360" w:lineRule="auto"/>
        <w:ind w:firstLine="709"/>
        <w:jc w:val="center"/>
        <w:rPr>
          <w:rFonts w:ascii="Arial" w:hAnsi="Arial" w:cs="Arial"/>
          <w:sz w:val="22"/>
          <w:szCs w:val="22"/>
          <w:lang/>
        </w:rPr>
      </w:pPr>
    </w:p>
    <w:p w:rsidR="00CD409D" w:rsidRDefault="00CD409D" w:rsidP="00BF4427">
      <w:pPr>
        <w:autoSpaceDE w:val="0"/>
        <w:autoSpaceDN w:val="0"/>
        <w:adjustRightInd w:val="0"/>
        <w:spacing w:line="360" w:lineRule="auto"/>
        <w:ind w:firstLine="709"/>
        <w:jc w:val="center"/>
        <w:rPr>
          <w:rFonts w:ascii="Arial" w:hAnsi="Arial" w:cs="Arial"/>
          <w:sz w:val="22"/>
          <w:szCs w:val="22"/>
          <w:lang/>
        </w:rPr>
      </w:pPr>
    </w:p>
    <w:p w:rsidR="00CD409D" w:rsidRDefault="00CD409D" w:rsidP="00BF4427">
      <w:pPr>
        <w:autoSpaceDE w:val="0"/>
        <w:autoSpaceDN w:val="0"/>
        <w:adjustRightInd w:val="0"/>
        <w:spacing w:line="360" w:lineRule="auto"/>
        <w:ind w:firstLine="709"/>
        <w:jc w:val="center"/>
        <w:rPr>
          <w:rFonts w:ascii="Arial" w:hAnsi="Arial" w:cs="Arial"/>
          <w:sz w:val="22"/>
          <w:szCs w:val="22"/>
          <w:lang/>
        </w:rPr>
      </w:pPr>
    </w:p>
    <w:p w:rsidR="00CD409D" w:rsidRDefault="00CD409D" w:rsidP="00BF4427">
      <w:pPr>
        <w:autoSpaceDE w:val="0"/>
        <w:autoSpaceDN w:val="0"/>
        <w:adjustRightInd w:val="0"/>
        <w:spacing w:line="360" w:lineRule="auto"/>
        <w:ind w:firstLine="709"/>
        <w:jc w:val="center"/>
        <w:rPr>
          <w:rFonts w:ascii="Arial" w:hAnsi="Arial" w:cs="Arial"/>
          <w:sz w:val="22"/>
          <w:szCs w:val="22"/>
          <w:lang/>
        </w:rPr>
      </w:pPr>
    </w:p>
    <w:p w:rsidR="00CD409D" w:rsidRDefault="00CD409D" w:rsidP="00BF4427">
      <w:pPr>
        <w:autoSpaceDE w:val="0"/>
        <w:autoSpaceDN w:val="0"/>
        <w:adjustRightInd w:val="0"/>
        <w:spacing w:line="360" w:lineRule="auto"/>
        <w:ind w:firstLine="709"/>
        <w:jc w:val="center"/>
        <w:rPr>
          <w:rFonts w:ascii="Arial" w:hAnsi="Arial" w:cs="Arial"/>
          <w:sz w:val="22"/>
          <w:szCs w:val="22"/>
          <w:lang/>
        </w:rPr>
      </w:pPr>
    </w:p>
    <w:p w:rsidR="00CD409D" w:rsidRDefault="00CD409D" w:rsidP="00BF4427">
      <w:pPr>
        <w:autoSpaceDE w:val="0"/>
        <w:autoSpaceDN w:val="0"/>
        <w:adjustRightInd w:val="0"/>
        <w:spacing w:line="360" w:lineRule="auto"/>
        <w:ind w:firstLine="709"/>
        <w:jc w:val="center"/>
        <w:rPr>
          <w:rFonts w:ascii="Arial" w:hAnsi="Arial" w:cs="Arial"/>
          <w:sz w:val="22"/>
          <w:szCs w:val="22"/>
          <w:lang/>
        </w:rPr>
      </w:pPr>
    </w:p>
    <w:p w:rsidR="00CD409D" w:rsidRDefault="00CD409D" w:rsidP="00BF4427">
      <w:pPr>
        <w:autoSpaceDE w:val="0"/>
        <w:autoSpaceDN w:val="0"/>
        <w:adjustRightInd w:val="0"/>
        <w:spacing w:line="360" w:lineRule="auto"/>
        <w:ind w:firstLine="709"/>
        <w:jc w:val="center"/>
        <w:rPr>
          <w:rFonts w:ascii="Arial" w:hAnsi="Arial" w:cs="Arial"/>
          <w:sz w:val="22"/>
          <w:szCs w:val="22"/>
          <w:lang/>
        </w:rPr>
      </w:pPr>
    </w:p>
    <w:p w:rsidR="00CD409D" w:rsidRDefault="00CD409D" w:rsidP="00BF4427">
      <w:pPr>
        <w:autoSpaceDE w:val="0"/>
        <w:autoSpaceDN w:val="0"/>
        <w:adjustRightInd w:val="0"/>
        <w:spacing w:line="360" w:lineRule="auto"/>
        <w:ind w:firstLine="709"/>
        <w:jc w:val="center"/>
        <w:rPr>
          <w:rFonts w:ascii="Arial" w:hAnsi="Arial" w:cs="Arial"/>
          <w:sz w:val="22"/>
          <w:szCs w:val="22"/>
          <w:lang/>
        </w:rPr>
      </w:pPr>
    </w:p>
    <w:p w:rsidR="00CD409D" w:rsidRPr="00FD62A0" w:rsidRDefault="00CD409D" w:rsidP="00BF4427">
      <w:pPr>
        <w:autoSpaceDE w:val="0"/>
        <w:autoSpaceDN w:val="0"/>
        <w:adjustRightInd w:val="0"/>
        <w:spacing w:line="360" w:lineRule="auto"/>
        <w:ind w:firstLine="709"/>
        <w:jc w:val="center"/>
        <w:rPr>
          <w:rFonts w:ascii="Arial" w:hAnsi="Arial" w:cs="Arial"/>
          <w:sz w:val="22"/>
          <w:szCs w:val="22"/>
          <w:lang/>
        </w:rPr>
      </w:pPr>
    </w:p>
    <w:p w:rsidR="003A24C7" w:rsidRPr="00FD62A0" w:rsidRDefault="003A24C7" w:rsidP="00BF4427">
      <w:pPr>
        <w:autoSpaceDE w:val="0"/>
        <w:autoSpaceDN w:val="0"/>
        <w:adjustRightInd w:val="0"/>
        <w:spacing w:line="360" w:lineRule="auto"/>
        <w:ind w:firstLine="709"/>
        <w:jc w:val="center"/>
        <w:rPr>
          <w:rFonts w:ascii="Arial" w:hAnsi="Arial" w:cs="Arial"/>
          <w:b/>
          <w:sz w:val="22"/>
          <w:szCs w:val="22"/>
          <w:lang/>
        </w:rPr>
      </w:pPr>
      <w:r w:rsidRPr="00FD62A0">
        <w:rPr>
          <w:rFonts w:ascii="Arial" w:hAnsi="Arial" w:cs="Arial"/>
          <w:b/>
          <w:sz w:val="22"/>
          <w:szCs w:val="22"/>
          <w:lang/>
        </w:rPr>
        <w:lastRenderedPageBreak/>
        <w:t xml:space="preserve">Gráfico 4.3. Inserção no mercado de trabalho </w:t>
      </w:r>
      <w:r w:rsidR="00C02187" w:rsidRPr="00FD62A0">
        <w:rPr>
          <w:rFonts w:ascii="Arial" w:hAnsi="Arial" w:cs="Arial"/>
          <w:b/>
          <w:sz w:val="22"/>
          <w:szCs w:val="22"/>
          <w:lang/>
        </w:rPr>
        <w:t>ViraVida</w:t>
      </w:r>
      <w:r w:rsidRPr="00FD62A0">
        <w:rPr>
          <w:rFonts w:ascii="Arial" w:hAnsi="Arial" w:cs="Arial"/>
          <w:b/>
          <w:sz w:val="22"/>
          <w:szCs w:val="22"/>
          <w:lang/>
        </w:rPr>
        <w:t>:</w:t>
      </w:r>
    </w:p>
    <w:p w:rsidR="003A24C7" w:rsidRPr="00FD62A0" w:rsidRDefault="008F4D7B" w:rsidP="00BF4427">
      <w:pPr>
        <w:autoSpaceDE w:val="0"/>
        <w:autoSpaceDN w:val="0"/>
        <w:adjustRightInd w:val="0"/>
        <w:spacing w:line="360" w:lineRule="auto"/>
        <w:ind w:firstLine="709"/>
        <w:jc w:val="center"/>
        <w:rPr>
          <w:rFonts w:ascii="Arial" w:hAnsi="Arial" w:cs="Arial"/>
          <w:sz w:val="22"/>
          <w:szCs w:val="22"/>
          <w:lang/>
        </w:rPr>
      </w:pPr>
      <w:r w:rsidRPr="00FD62A0">
        <w:rPr>
          <w:rFonts w:ascii="Arial" w:hAnsi="Arial" w:cs="Arial"/>
          <w:noProof/>
          <w:sz w:val="22"/>
          <w:szCs w:val="22"/>
        </w:rPr>
        <w:pict>
          <v:shape id="_x0000_s1040" type="#_x0000_t202" style="position:absolute;left:0;text-align:left;margin-left:70pt;margin-top:160.6pt;width:372pt;height:20.6pt;z-index:251654656;mso-height-percent:200;mso-height-percent:200;mso-width-relative:margin;mso-height-relative:margin" strokecolor="white">
            <v:textbox style="mso-next-textbox:#_x0000_s1040;mso-fit-shape-to-text:t">
              <w:txbxContent>
                <w:p w:rsidR="00F478F9" w:rsidRPr="003F43C5" w:rsidRDefault="00F478F9" w:rsidP="003F43C5">
                  <w:pPr>
                    <w:ind w:left="708"/>
                    <w:jc w:val="center"/>
                    <w:rPr>
                      <w:rFonts w:ascii="Arial" w:hAnsi="Arial" w:cs="Arial"/>
                      <w:sz w:val="22"/>
                      <w:szCs w:val="22"/>
                    </w:rPr>
                  </w:pPr>
                  <w:r>
                    <w:rPr>
                      <w:rFonts w:ascii="Arial" w:hAnsi="Arial" w:cs="Arial"/>
                      <w:sz w:val="22"/>
                      <w:szCs w:val="22"/>
                    </w:rPr>
                    <w:t xml:space="preserve">          </w:t>
                  </w:r>
                  <w:r w:rsidRPr="003F43C5">
                    <w:rPr>
                      <w:rFonts w:ascii="Arial" w:hAnsi="Arial" w:cs="Arial"/>
                      <w:sz w:val="22"/>
                      <w:szCs w:val="22"/>
                    </w:rPr>
                    <w:t>Fonte: Dados obtidos junto à equipe técnica de Fortaleza</w:t>
                  </w:r>
                </w:p>
              </w:txbxContent>
            </v:textbox>
          </v:shape>
        </w:pict>
      </w:r>
      <w:r w:rsidR="00765105">
        <w:rPr>
          <w:rFonts w:ascii="Arial" w:hAnsi="Arial" w:cs="Arial"/>
          <w:noProof/>
          <w:sz w:val="22"/>
          <w:szCs w:val="22"/>
        </w:rPr>
        <w:drawing>
          <wp:inline distT="0" distB="0" distL="0" distR="0">
            <wp:extent cx="4695825" cy="2085975"/>
            <wp:effectExtent l="0" t="0" r="0" b="0"/>
            <wp:docPr id="10" name="Objeto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3A24C7" w:rsidRPr="00FD62A0" w:rsidRDefault="003A24C7" w:rsidP="00BF4427">
      <w:pPr>
        <w:autoSpaceDE w:val="0"/>
        <w:autoSpaceDN w:val="0"/>
        <w:adjustRightInd w:val="0"/>
        <w:spacing w:line="360" w:lineRule="auto"/>
        <w:ind w:firstLine="708"/>
        <w:jc w:val="both"/>
        <w:rPr>
          <w:rFonts w:ascii="Arial" w:hAnsi="Arial" w:cs="Arial"/>
          <w:sz w:val="22"/>
          <w:szCs w:val="22"/>
          <w:lang/>
        </w:rPr>
      </w:pPr>
    </w:p>
    <w:p w:rsidR="003F43C5" w:rsidRPr="00FD62A0" w:rsidRDefault="003F43C5"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As principais formas de inserção dos jovens no mercado de trabalho são os programas governamentais (Primeiro emprego, Jovem Aprendiz), a contratação no setor privado, estágios remunerados, empreendedorismo e cooperativismo.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Através das estratégias de educação, profissionalização, bolsa auxílio e atendimento integrado, mais de 85% dos jovens saíram da situação de exploração sexual ao longo do processo. Além disso, diversos outros indicadores sociais também foram melhorados. Entre eles estão: escolaridade, profissionalização, inserção no mercado de trabalho e melhoria da qualidade de vida.</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Dados relevantes:</w:t>
      </w:r>
    </w:p>
    <w:p w:rsidR="009F0C25" w:rsidRPr="00FD62A0" w:rsidRDefault="009F0C25" w:rsidP="00BF4427">
      <w:pPr>
        <w:numPr>
          <w:ilvl w:val="0"/>
          <w:numId w:val="3"/>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89% dos jovens melhoraram o nível de conhecimento;</w:t>
      </w:r>
    </w:p>
    <w:p w:rsidR="009F0C25" w:rsidRPr="00FD62A0" w:rsidRDefault="009F0C25" w:rsidP="00BF4427">
      <w:pPr>
        <w:numPr>
          <w:ilvl w:val="0"/>
          <w:numId w:val="3"/>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90% retornaram à escola regular, ao final dos cursos do projeto;</w:t>
      </w:r>
    </w:p>
    <w:p w:rsidR="009F0C25" w:rsidRPr="00FD62A0" w:rsidRDefault="009F0C25" w:rsidP="00BF4427">
      <w:pPr>
        <w:numPr>
          <w:ilvl w:val="0"/>
          <w:numId w:val="3"/>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89% foram profissionalizados;</w:t>
      </w:r>
    </w:p>
    <w:p w:rsidR="009F0C25" w:rsidRPr="00FD62A0" w:rsidRDefault="009F0C25" w:rsidP="00BF4427">
      <w:pPr>
        <w:numPr>
          <w:ilvl w:val="0"/>
          <w:numId w:val="3"/>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100% tiveram os documentos emitidos (RG, CPF, título de eleitor, carteira de trabalho e 2ª via de certidão de nascimento);</w:t>
      </w:r>
    </w:p>
    <w:p w:rsidR="009F0C25" w:rsidRPr="00FD62A0" w:rsidRDefault="009F0C25" w:rsidP="00BF4427">
      <w:pPr>
        <w:numPr>
          <w:ilvl w:val="0"/>
          <w:numId w:val="3"/>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80% contribuíram com a renda familiar com a renda obtida nas bolsas oferecidas no projeto.</w:t>
      </w:r>
    </w:p>
    <w:p w:rsidR="009F0C25" w:rsidRPr="00FD62A0" w:rsidRDefault="009F0C25" w:rsidP="00BF4427">
      <w:pPr>
        <w:numPr>
          <w:ilvl w:val="0"/>
          <w:numId w:val="3"/>
        </w:num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Melhoria geral no acesso à saúde, cultura, esporte e lazer.</w:t>
      </w:r>
    </w:p>
    <w:p w:rsidR="008F4D7B" w:rsidRPr="00FD62A0" w:rsidRDefault="008F4D7B"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b/>
          <w:sz w:val="22"/>
          <w:szCs w:val="22"/>
          <w:lang/>
        </w:rPr>
      </w:pPr>
      <w:r w:rsidRPr="00FD62A0">
        <w:rPr>
          <w:rFonts w:ascii="Arial" w:hAnsi="Arial" w:cs="Arial"/>
          <w:b/>
          <w:sz w:val="22"/>
          <w:szCs w:val="22"/>
          <w:lang/>
        </w:rPr>
        <w:t>4.2. Turismo Sustentável e Infância</w:t>
      </w:r>
    </w:p>
    <w:p w:rsidR="009F0C25" w:rsidRPr="00FD62A0" w:rsidRDefault="009F0C25" w:rsidP="00BF4427">
      <w:pPr>
        <w:autoSpaceDE w:val="0"/>
        <w:autoSpaceDN w:val="0"/>
        <w:adjustRightInd w:val="0"/>
        <w:spacing w:line="360" w:lineRule="auto"/>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O Programa Turismo Sustentável e Infância, foi instituído em 2004 e é desenvolvido pelo Ministério do Turismo em conjunto com o Conselho Nacional de Turismo, Secretarias Municipais e Estaduais de Turismo, Câmara Temática do Turismo Sustentável e Infância e diversas outras entidades relacionadas ao turismo, como empresas, universidades e a </w:t>
      </w:r>
      <w:r w:rsidRPr="00FD62A0">
        <w:rPr>
          <w:rFonts w:ascii="Arial" w:hAnsi="Arial" w:cs="Arial"/>
          <w:sz w:val="22"/>
          <w:szCs w:val="22"/>
          <w:lang/>
        </w:rPr>
        <w:lastRenderedPageBreak/>
        <w:t>sociedade civil. O Programa visa cultivar nos agentes relacionados, valores que contribuam para a proteção de crianças e adolescentes em situação de vulnerabilidade social no tocante à exploração sexual relacionada ao turismo.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Para alcançar seu intuito, o programa promove campanhas publicitárias; seminários de sensibilização voltados aos agentes do setor, principalmente empresários e profissionais e projetos de inclusão social que oferecem capacitação profissional aos jovens em situação de vulnerabilidade.</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O foco deste estudo, em relação ao programa é o mecanismo de inclusão social desenvolvido em Fortaleza – CE, denominado Projeto Inclusão Social com Capacitação Profissional, que visa profissionalizar os jovens para atuarem na cadeia produtiva do turismo. </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Executado pelo Serviço Nacional de Aprendizagem Comercial – </w:t>
      </w:r>
      <w:r w:rsidR="002A1169" w:rsidRPr="00FD62A0">
        <w:rPr>
          <w:rFonts w:ascii="Arial" w:hAnsi="Arial" w:cs="Arial"/>
          <w:sz w:val="22"/>
          <w:szCs w:val="22"/>
          <w:lang/>
        </w:rPr>
        <w:t>SENAC</w:t>
      </w:r>
      <w:r w:rsidRPr="00FD62A0">
        <w:rPr>
          <w:rFonts w:ascii="Arial" w:hAnsi="Arial" w:cs="Arial"/>
          <w:sz w:val="22"/>
          <w:szCs w:val="22"/>
          <w:lang/>
        </w:rPr>
        <w:t>, o projeto é composto por cinco aspectos que demarcam seu escopo e que são analisados detidamente, a fim de assegurar maior compreensão. São eles: a</w:t>
      </w:r>
      <w:r w:rsidRPr="00FD62A0">
        <w:rPr>
          <w:rFonts w:ascii="Arial" w:hAnsi="Arial" w:cs="Arial"/>
          <w:b/>
          <w:sz w:val="22"/>
          <w:szCs w:val="22"/>
          <w:lang/>
        </w:rPr>
        <w:t xml:space="preserve"> </w:t>
      </w:r>
      <w:r w:rsidRPr="00FD62A0">
        <w:rPr>
          <w:rFonts w:ascii="Arial" w:hAnsi="Arial" w:cs="Arial"/>
          <w:sz w:val="22"/>
          <w:szCs w:val="22"/>
          <w:lang/>
        </w:rPr>
        <w:t xml:space="preserve">metodologia do processo seletivo, as etapas e critério de seleção, a proposta curricular da instituição executora; a execução do projeto e os resultados alcançados. O </w:t>
      </w:r>
      <w:r w:rsidR="002A1169" w:rsidRPr="00FD62A0">
        <w:rPr>
          <w:rFonts w:ascii="Arial" w:hAnsi="Arial" w:cs="Arial"/>
          <w:sz w:val="22"/>
          <w:szCs w:val="22"/>
          <w:lang/>
        </w:rPr>
        <w:t>SENAC</w:t>
      </w:r>
      <w:r w:rsidRPr="00FD62A0">
        <w:rPr>
          <w:rFonts w:ascii="Arial" w:hAnsi="Arial" w:cs="Arial"/>
          <w:sz w:val="22"/>
          <w:szCs w:val="22"/>
          <w:lang/>
        </w:rPr>
        <w:t xml:space="preserve"> é o responsável pela elaboração do currículo e capacitação dos jovens, sendo apoiado em todo o decorrer do projeto pelas instituições parceiras, que auxiliam no acompanhamento e monitoramento dos alunos.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xml:space="preserve">Foram capacitados 360 jovens, com idades entre 16 e 26 anos, em ocupações diversas, como ajudante de cozinha, assistente de produção de eventos, cumim, camareira, promotor de vendas para hotelaria e recepcionistas. O filtro de encaminhamento para os cursos foi feito pelas instituições parceiras: Secretaria do Trabalho e Desenvolvimento Social do Estado do Ceará – STDS; Fundação da Criança e da Família Cidadã – Funci; Coordenadoria da Juventude PMF – Projovem; Secretaria de Desenvolvimento Econômico – SDE; Associação das Prostitutas do Ceará – Aproce; Comunidade em Movimento – Comov; Renascer da Esperança; Instituição de Orientação as DST/HIV/Aids </w:t>
      </w:r>
      <w:r w:rsidR="00F71456" w:rsidRPr="00FD62A0">
        <w:rPr>
          <w:rFonts w:ascii="Arial" w:hAnsi="Arial" w:cs="Arial"/>
          <w:sz w:val="22"/>
          <w:szCs w:val="22"/>
          <w:lang/>
        </w:rPr>
        <w:t>–</w:t>
      </w:r>
      <w:r w:rsidRPr="00FD62A0">
        <w:rPr>
          <w:rFonts w:ascii="Arial" w:hAnsi="Arial" w:cs="Arial"/>
          <w:sz w:val="22"/>
          <w:szCs w:val="22"/>
          <w:lang/>
        </w:rPr>
        <w:t xml:space="preserve"> Iopem</w:t>
      </w:r>
      <w:r w:rsidR="00F71456" w:rsidRPr="00FD62A0">
        <w:rPr>
          <w:rFonts w:ascii="Arial" w:hAnsi="Arial" w:cs="Arial"/>
          <w:sz w:val="22"/>
          <w:szCs w:val="22"/>
          <w:lang/>
        </w:rPr>
        <w:t>.</w:t>
      </w:r>
    </w:p>
    <w:p w:rsidR="00CD409D" w:rsidRDefault="00CD409D" w:rsidP="00BF4427">
      <w:pPr>
        <w:autoSpaceDE w:val="0"/>
        <w:autoSpaceDN w:val="0"/>
        <w:adjustRightInd w:val="0"/>
        <w:spacing w:line="360" w:lineRule="auto"/>
        <w:ind w:firstLine="709"/>
        <w:jc w:val="center"/>
        <w:rPr>
          <w:rFonts w:ascii="Arial" w:hAnsi="Arial" w:cs="Arial"/>
          <w:sz w:val="22"/>
          <w:szCs w:val="22"/>
          <w:lang/>
        </w:rPr>
      </w:pPr>
    </w:p>
    <w:p w:rsidR="003B7933" w:rsidRDefault="003B7933" w:rsidP="00BF4427">
      <w:pPr>
        <w:autoSpaceDE w:val="0"/>
        <w:autoSpaceDN w:val="0"/>
        <w:adjustRightInd w:val="0"/>
        <w:spacing w:line="360" w:lineRule="auto"/>
        <w:ind w:firstLine="709"/>
        <w:jc w:val="center"/>
        <w:rPr>
          <w:rFonts w:ascii="Arial" w:hAnsi="Arial" w:cs="Arial"/>
          <w:sz w:val="22"/>
          <w:szCs w:val="22"/>
          <w:lang/>
        </w:rPr>
      </w:pPr>
    </w:p>
    <w:p w:rsidR="003B7933" w:rsidRDefault="003B7933" w:rsidP="00BF4427">
      <w:pPr>
        <w:autoSpaceDE w:val="0"/>
        <w:autoSpaceDN w:val="0"/>
        <w:adjustRightInd w:val="0"/>
        <w:spacing w:line="360" w:lineRule="auto"/>
        <w:ind w:firstLine="709"/>
        <w:jc w:val="center"/>
        <w:rPr>
          <w:rFonts w:ascii="Arial" w:hAnsi="Arial" w:cs="Arial"/>
          <w:sz w:val="22"/>
          <w:szCs w:val="22"/>
          <w:lang/>
        </w:rPr>
      </w:pPr>
    </w:p>
    <w:p w:rsidR="003B7933" w:rsidRDefault="003B7933" w:rsidP="00BF4427">
      <w:pPr>
        <w:autoSpaceDE w:val="0"/>
        <w:autoSpaceDN w:val="0"/>
        <w:adjustRightInd w:val="0"/>
        <w:spacing w:line="360" w:lineRule="auto"/>
        <w:ind w:firstLine="709"/>
        <w:jc w:val="center"/>
        <w:rPr>
          <w:rFonts w:ascii="Arial" w:hAnsi="Arial" w:cs="Arial"/>
          <w:sz w:val="22"/>
          <w:szCs w:val="22"/>
          <w:lang/>
        </w:rPr>
      </w:pPr>
    </w:p>
    <w:p w:rsidR="003B7933" w:rsidRDefault="003B7933" w:rsidP="00BF4427">
      <w:pPr>
        <w:autoSpaceDE w:val="0"/>
        <w:autoSpaceDN w:val="0"/>
        <w:adjustRightInd w:val="0"/>
        <w:spacing w:line="360" w:lineRule="auto"/>
        <w:ind w:firstLine="709"/>
        <w:jc w:val="center"/>
        <w:rPr>
          <w:rFonts w:ascii="Arial" w:hAnsi="Arial" w:cs="Arial"/>
          <w:sz w:val="22"/>
          <w:szCs w:val="22"/>
          <w:lang/>
        </w:rPr>
      </w:pPr>
    </w:p>
    <w:p w:rsidR="003B7933" w:rsidRDefault="003B7933" w:rsidP="00BF4427">
      <w:pPr>
        <w:autoSpaceDE w:val="0"/>
        <w:autoSpaceDN w:val="0"/>
        <w:adjustRightInd w:val="0"/>
        <w:spacing w:line="360" w:lineRule="auto"/>
        <w:ind w:firstLine="709"/>
        <w:jc w:val="center"/>
        <w:rPr>
          <w:rFonts w:ascii="Arial" w:hAnsi="Arial" w:cs="Arial"/>
          <w:sz w:val="22"/>
          <w:szCs w:val="22"/>
          <w:lang/>
        </w:rPr>
      </w:pPr>
    </w:p>
    <w:p w:rsidR="003B7933" w:rsidRDefault="003B7933" w:rsidP="00BF4427">
      <w:pPr>
        <w:autoSpaceDE w:val="0"/>
        <w:autoSpaceDN w:val="0"/>
        <w:adjustRightInd w:val="0"/>
        <w:spacing w:line="360" w:lineRule="auto"/>
        <w:ind w:firstLine="709"/>
        <w:jc w:val="center"/>
        <w:rPr>
          <w:rFonts w:ascii="Arial" w:hAnsi="Arial" w:cs="Arial"/>
          <w:sz w:val="22"/>
          <w:szCs w:val="22"/>
          <w:lang/>
        </w:rPr>
      </w:pPr>
    </w:p>
    <w:p w:rsidR="003B7933" w:rsidRPr="00FD62A0" w:rsidRDefault="003B7933" w:rsidP="00BF4427">
      <w:pPr>
        <w:autoSpaceDE w:val="0"/>
        <w:autoSpaceDN w:val="0"/>
        <w:adjustRightInd w:val="0"/>
        <w:spacing w:line="360" w:lineRule="auto"/>
        <w:ind w:firstLine="709"/>
        <w:jc w:val="center"/>
        <w:rPr>
          <w:rFonts w:ascii="Arial" w:hAnsi="Arial" w:cs="Arial"/>
          <w:sz w:val="22"/>
          <w:szCs w:val="22"/>
          <w:lang/>
        </w:rPr>
      </w:pPr>
    </w:p>
    <w:p w:rsidR="00F71456" w:rsidRPr="00FD62A0" w:rsidRDefault="00F71456" w:rsidP="00BF4427">
      <w:pPr>
        <w:autoSpaceDE w:val="0"/>
        <w:autoSpaceDN w:val="0"/>
        <w:adjustRightInd w:val="0"/>
        <w:spacing w:line="360" w:lineRule="auto"/>
        <w:ind w:firstLine="709"/>
        <w:jc w:val="center"/>
        <w:rPr>
          <w:rFonts w:ascii="Arial" w:hAnsi="Arial" w:cs="Arial"/>
          <w:b/>
          <w:sz w:val="22"/>
          <w:szCs w:val="22"/>
          <w:lang/>
        </w:rPr>
      </w:pPr>
      <w:r w:rsidRPr="00FD62A0">
        <w:rPr>
          <w:rFonts w:ascii="Arial" w:hAnsi="Arial" w:cs="Arial"/>
          <w:b/>
          <w:sz w:val="22"/>
          <w:szCs w:val="22"/>
          <w:lang/>
        </w:rPr>
        <w:lastRenderedPageBreak/>
        <w:t>Gráfico 4.4. Idade dos estudantes Turismo Sustentável e Infância:</w:t>
      </w:r>
    </w:p>
    <w:p w:rsidR="00F71456" w:rsidRPr="00FD62A0" w:rsidRDefault="00F71456" w:rsidP="00BF4427">
      <w:pPr>
        <w:autoSpaceDE w:val="0"/>
        <w:autoSpaceDN w:val="0"/>
        <w:adjustRightInd w:val="0"/>
        <w:spacing w:line="360" w:lineRule="auto"/>
        <w:ind w:firstLine="708"/>
        <w:jc w:val="center"/>
        <w:rPr>
          <w:rFonts w:ascii="Arial" w:hAnsi="Arial" w:cs="Arial"/>
          <w:sz w:val="22"/>
          <w:szCs w:val="22"/>
          <w:lang/>
        </w:rPr>
      </w:pPr>
      <w:r w:rsidRPr="00FD62A0">
        <w:rPr>
          <w:rFonts w:ascii="Arial" w:hAnsi="Arial" w:cs="Arial"/>
          <w:b/>
          <w:noProof/>
          <w:sz w:val="22"/>
          <w:szCs w:val="22"/>
        </w:rPr>
        <w:pict>
          <v:shape id="_x0000_s1041" type="#_x0000_t202" style="position:absolute;left:0;text-align:left;margin-left:105.3pt;margin-top:183.25pt;width:313.35pt;height:20.6pt;z-index:251655680;mso-height-percent:200;mso-height-percent:200;mso-width-relative:margin;mso-height-relative:margin" strokecolor="white">
            <v:textbox style="mso-next-textbox:#_x0000_s1041;mso-fit-shape-to-text:t">
              <w:txbxContent>
                <w:p w:rsidR="00F478F9" w:rsidRPr="0009702C" w:rsidRDefault="00F478F9" w:rsidP="00F71456">
                  <w:pPr>
                    <w:jc w:val="center"/>
                    <w:rPr>
                      <w:rFonts w:ascii="Arial" w:hAnsi="Arial" w:cs="Arial"/>
                      <w:sz w:val="22"/>
                      <w:szCs w:val="22"/>
                    </w:rPr>
                  </w:pPr>
                  <w:r w:rsidRPr="0009702C">
                    <w:rPr>
                      <w:rFonts w:ascii="Arial" w:hAnsi="Arial" w:cs="Arial"/>
                      <w:sz w:val="22"/>
                      <w:szCs w:val="22"/>
                    </w:rPr>
                    <w:t>Fonte: Dados obtidos junto à equipe técnica de Fortaleza</w:t>
                  </w:r>
                </w:p>
              </w:txbxContent>
            </v:textbox>
          </v:shape>
        </w:pict>
      </w:r>
      <w:r w:rsidR="00765105">
        <w:rPr>
          <w:rFonts w:ascii="Arial" w:hAnsi="Arial" w:cs="Arial"/>
          <w:noProof/>
          <w:sz w:val="22"/>
          <w:szCs w:val="22"/>
        </w:rPr>
        <w:drawing>
          <wp:inline distT="0" distB="0" distL="0" distR="0">
            <wp:extent cx="4686300" cy="2324100"/>
            <wp:effectExtent l="0" t="0" r="0" b="0"/>
            <wp:docPr id="11" name="Objeto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CD409D" w:rsidRDefault="00F71456" w:rsidP="00BF4427">
      <w:pPr>
        <w:autoSpaceDE w:val="0"/>
        <w:autoSpaceDN w:val="0"/>
        <w:adjustRightInd w:val="0"/>
        <w:spacing w:line="360" w:lineRule="auto"/>
        <w:rPr>
          <w:rFonts w:ascii="Arial" w:hAnsi="Arial" w:cs="Arial"/>
          <w:b/>
          <w:sz w:val="22"/>
          <w:szCs w:val="22"/>
          <w:lang/>
        </w:rPr>
      </w:pPr>
      <w:r w:rsidRPr="00FD62A0">
        <w:rPr>
          <w:rFonts w:ascii="Arial" w:hAnsi="Arial" w:cs="Arial"/>
          <w:b/>
          <w:sz w:val="22"/>
          <w:szCs w:val="22"/>
          <w:lang/>
        </w:rPr>
        <w:tab/>
      </w:r>
    </w:p>
    <w:p w:rsidR="00CD409D" w:rsidRDefault="00CD409D" w:rsidP="00BF4427">
      <w:pPr>
        <w:autoSpaceDE w:val="0"/>
        <w:autoSpaceDN w:val="0"/>
        <w:adjustRightInd w:val="0"/>
        <w:spacing w:line="360" w:lineRule="auto"/>
        <w:rPr>
          <w:rFonts w:ascii="Arial" w:hAnsi="Arial" w:cs="Arial"/>
          <w:b/>
          <w:sz w:val="22"/>
          <w:szCs w:val="22"/>
          <w:lang/>
        </w:rPr>
      </w:pPr>
    </w:p>
    <w:p w:rsidR="00F71456" w:rsidRPr="00FD62A0" w:rsidRDefault="00F71456" w:rsidP="00CD409D">
      <w:pPr>
        <w:autoSpaceDE w:val="0"/>
        <w:autoSpaceDN w:val="0"/>
        <w:adjustRightInd w:val="0"/>
        <w:spacing w:line="360" w:lineRule="auto"/>
        <w:ind w:firstLine="708"/>
        <w:rPr>
          <w:rFonts w:ascii="Arial" w:hAnsi="Arial" w:cs="Arial"/>
          <w:sz w:val="22"/>
          <w:szCs w:val="22"/>
          <w:lang/>
        </w:rPr>
      </w:pPr>
      <w:r w:rsidRPr="00FD62A0">
        <w:rPr>
          <w:rFonts w:ascii="Arial" w:hAnsi="Arial" w:cs="Arial"/>
          <w:sz w:val="22"/>
          <w:szCs w:val="22"/>
          <w:lang/>
        </w:rPr>
        <w:t>A escolaridade dos jovens é predominantemente de ensino médio, seja cursando ou concluído, conforme apontado no gráfico 4.5.:</w:t>
      </w:r>
    </w:p>
    <w:p w:rsidR="004B7AFC" w:rsidRPr="00FD62A0" w:rsidRDefault="004B7AFC" w:rsidP="00BF4427">
      <w:pPr>
        <w:autoSpaceDE w:val="0"/>
        <w:autoSpaceDN w:val="0"/>
        <w:adjustRightInd w:val="0"/>
        <w:spacing w:line="360" w:lineRule="auto"/>
        <w:jc w:val="center"/>
        <w:rPr>
          <w:rFonts w:ascii="Arial" w:hAnsi="Arial" w:cs="Arial"/>
          <w:b/>
          <w:sz w:val="22"/>
          <w:szCs w:val="22"/>
          <w:lang/>
        </w:rPr>
      </w:pPr>
    </w:p>
    <w:p w:rsidR="00F71456" w:rsidRPr="00FD62A0" w:rsidRDefault="00F71456" w:rsidP="00BF4427">
      <w:pPr>
        <w:autoSpaceDE w:val="0"/>
        <w:autoSpaceDN w:val="0"/>
        <w:adjustRightInd w:val="0"/>
        <w:spacing w:line="360" w:lineRule="auto"/>
        <w:jc w:val="center"/>
        <w:rPr>
          <w:rFonts w:ascii="Arial" w:hAnsi="Arial" w:cs="Arial"/>
          <w:b/>
          <w:sz w:val="22"/>
          <w:szCs w:val="22"/>
          <w:lang/>
        </w:rPr>
      </w:pPr>
      <w:r w:rsidRPr="00FD62A0">
        <w:rPr>
          <w:rFonts w:ascii="Arial" w:hAnsi="Arial" w:cs="Arial"/>
          <w:b/>
          <w:sz w:val="22"/>
          <w:szCs w:val="22"/>
          <w:lang/>
        </w:rPr>
        <w:t>Gráfico 4.5. Escolaridade dos estudantes Turismo Sustentável e Infância:</w:t>
      </w:r>
    </w:p>
    <w:p w:rsidR="00F71456" w:rsidRPr="00FD62A0" w:rsidRDefault="00F71456" w:rsidP="0009702C">
      <w:pPr>
        <w:autoSpaceDE w:val="0"/>
        <w:autoSpaceDN w:val="0"/>
        <w:adjustRightInd w:val="0"/>
        <w:spacing w:line="360" w:lineRule="auto"/>
        <w:ind w:firstLine="708"/>
        <w:jc w:val="center"/>
        <w:rPr>
          <w:rFonts w:ascii="Arial" w:hAnsi="Arial" w:cs="Arial"/>
          <w:sz w:val="22"/>
          <w:szCs w:val="22"/>
          <w:lang/>
        </w:rPr>
      </w:pPr>
      <w:r w:rsidRPr="00FD62A0">
        <w:rPr>
          <w:rFonts w:ascii="Arial" w:hAnsi="Arial" w:cs="Arial"/>
          <w:b/>
          <w:noProof/>
          <w:sz w:val="22"/>
          <w:szCs w:val="22"/>
        </w:rPr>
        <w:pict>
          <v:shape id="_x0000_s1042" type="#_x0000_t202" style="position:absolute;left:0;text-align:left;margin-left:86.4pt;margin-top:181.55pt;width:303.75pt;height:20.6pt;z-index:251656704;mso-height-percent:200;mso-height-percent:200;mso-width-relative:margin;mso-height-relative:margin" strokecolor="white">
            <v:textbox style="mso-next-textbox:#_x0000_s1042;mso-fit-shape-to-text:t">
              <w:txbxContent>
                <w:p w:rsidR="00F478F9" w:rsidRPr="0009702C" w:rsidRDefault="00F478F9" w:rsidP="00F71456">
                  <w:pPr>
                    <w:jc w:val="center"/>
                    <w:rPr>
                      <w:rFonts w:ascii="Arial" w:hAnsi="Arial" w:cs="Arial"/>
                      <w:sz w:val="22"/>
                      <w:szCs w:val="22"/>
                    </w:rPr>
                  </w:pPr>
                  <w:r w:rsidRPr="0009702C">
                    <w:rPr>
                      <w:rFonts w:ascii="Arial" w:hAnsi="Arial" w:cs="Arial"/>
                      <w:sz w:val="22"/>
                      <w:szCs w:val="22"/>
                    </w:rPr>
                    <w:t>Fonte: Dados obtidos junto à equipe técnica de Fortaleza</w:t>
                  </w:r>
                </w:p>
              </w:txbxContent>
            </v:textbox>
          </v:shape>
        </w:pict>
      </w:r>
      <w:r w:rsidR="00765105">
        <w:rPr>
          <w:noProof/>
          <w:sz w:val="22"/>
          <w:szCs w:val="22"/>
        </w:rPr>
        <w:drawing>
          <wp:inline distT="0" distB="0" distL="0" distR="0">
            <wp:extent cx="4686300" cy="2324100"/>
            <wp:effectExtent l="0" t="0" r="0" b="0"/>
            <wp:docPr id="12" name="Objeto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4B7AFC" w:rsidRPr="00FD62A0" w:rsidRDefault="004B7AFC" w:rsidP="00BF4427">
      <w:pPr>
        <w:autoSpaceDE w:val="0"/>
        <w:autoSpaceDN w:val="0"/>
        <w:adjustRightInd w:val="0"/>
        <w:spacing w:line="360" w:lineRule="auto"/>
        <w:rPr>
          <w:rFonts w:ascii="Arial" w:hAnsi="Arial" w:cs="Arial"/>
          <w:b/>
          <w:sz w:val="22"/>
          <w:szCs w:val="22"/>
          <w:lang/>
        </w:rPr>
      </w:pPr>
    </w:p>
    <w:p w:rsidR="004B7AFC" w:rsidRPr="00FD62A0" w:rsidRDefault="004B7AFC" w:rsidP="00BF4427">
      <w:pPr>
        <w:autoSpaceDE w:val="0"/>
        <w:autoSpaceDN w:val="0"/>
        <w:adjustRightInd w:val="0"/>
        <w:spacing w:line="360" w:lineRule="auto"/>
        <w:rPr>
          <w:rFonts w:ascii="Arial" w:hAnsi="Arial" w:cs="Arial"/>
          <w:b/>
          <w:sz w:val="22"/>
          <w:szCs w:val="22"/>
          <w:lang/>
        </w:rPr>
      </w:pPr>
    </w:p>
    <w:p w:rsidR="009F0C25" w:rsidRPr="00FD62A0" w:rsidRDefault="009F0C25" w:rsidP="00BF4427">
      <w:pPr>
        <w:autoSpaceDE w:val="0"/>
        <w:autoSpaceDN w:val="0"/>
        <w:adjustRightInd w:val="0"/>
        <w:spacing w:line="360" w:lineRule="auto"/>
        <w:rPr>
          <w:rFonts w:ascii="Arial" w:hAnsi="Arial" w:cs="Arial"/>
          <w:b/>
          <w:sz w:val="22"/>
          <w:szCs w:val="22"/>
          <w:lang/>
        </w:rPr>
      </w:pPr>
      <w:r w:rsidRPr="00FD62A0">
        <w:rPr>
          <w:rFonts w:ascii="Arial" w:hAnsi="Arial" w:cs="Arial"/>
          <w:b/>
          <w:sz w:val="22"/>
          <w:szCs w:val="22"/>
          <w:lang/>
        </w:rPr>
        <w:t>4.2.1. Metodologia do processo seletivo – etapas e critério de seleção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O primeiro momento do processo seletivo se refere a definir o padrão das pessoas a serem atendidas. No caso do programa de inclusão social e capacitação profissional do programa Turismo Sustentável e Infância, o enfoque é dado em jovens que estejam em situação de vulnerabilidade em relação à exploração sexual. Dessa forma, foram selecionados jovens com as seguintes características: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lastRenderedPageBreak/>
        <w:t xml:space="preserve">- Idade entre </w:t>
      </w:r>
      <w:smartTag w:uri="urn:schemas-microsoft-com:office:smarttags" w:element="metricconverter">
        <w:smartTagPr>
          <w:attr w:name="ProductID" w:val="16 a"/>
        </w:smartTagPr>
        <w:r w:rsidRPr="00FD62A0">
          <w:rPr>
            <w:rFonts w:ascii="Arial" w:hAnsi="Arial" w:cs="Arial"/>
            <w:sz w:val="22"/>
            <w:szCs w:val="22"/>
            <w:lang/>
          </w:rPr>
          <w:t>16 a</w:t>
        </w:r>
      </w:smartTag>
      <w:r w:rsidRPr="00FD62A0">
        <w:rPr>
          <w:rFonts w:ascii="Arial" w:hAnsi="Arial" w:cs="Arial"/>
          <w:sz w:val="22"/>
          <w:szCs w:val="22"/>
          <w:lang/>
        </w:rPr>
        <w:t xml:space="preserve"> 26 anos;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desempregado;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rendimento familiar igual ou inferior a 1/2 salário mínimo per capita;</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ter ensino fundamental completo;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disponibilidade e comprometimento com as aulas teóricas e práticas.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Para o processo seletivo do projeto, foram chamados 720 jovens, os quais concorreriam a 360 vagas oferecidas. O mesmo foi composto por três fases, a saber: recrutamento, oficina de orientação profissional e composição das turmas.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A fase de recrutamento visa conhecer o candidato à vaga, em questões relacionadas ao contexto socioeconômico e social, assim como aspectos culturais. Em seguida, a etapa busca perceber nos jovens o nível de interesse, suas perspectivas e receios em relação à ocupação na área de turismo. Ao final, são escolhidos os cursos, de acordo com as aptidões e interesses individuais dos estudantes. Para alcançar os objetivos mencionados, são aplicados nesta etapa fichas cadastrais para preenchimento de informações pelos candidatos e redação com tema referente à ocupação no setor de turismo.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Nas oficinas de orientação profissional, os jovens têm mais informações sobre os cursos oferecidos pelo projeto, e t</w:t>
      </w:r>
      <w:r w:rsidR="00D1349B">
        <w:rPr>
          <w:rFonts w:ascii="Arial" w:hAnsi="Arial" w:cs="Arial"/>
          <w:sz w:val="22"/>
          <w:szCs w:val="22"/>
          <w:lang/>
        </w:rPr>
        <w:t>ê</w:t>
      </w:r>
      <w:r w:rsidRPr="00FD62A0">
        <w:rPr>
          <w:rFonts w:ascii="Arial" w:hAnsi="Arial" w:cs="Arial"/>
          <w:sz w:val="22"/>
          <w:szCs w:val="22"/>
          <w:lang/>
        </w:rPr>
        <w:t>m a oportunidade de mudar de curso, caso se interessem por outro. Para a realização das oficinas, são convocados profissionais dos setores de educação, desenvolvimento social e turismo e hospitalidade. As oficinas têm formato dinâmico, com atividades em grupo, debates, apresentações, além de outros meios interativos. Sua programação é estabelecida como segue: Dinâmica de apresentação e integração; debate em grupos sobre temas diversos — drogas, racismo, exploração sexual, cidadania; apresentação de vídeos sobre as ocupações oferecidas nos cursos do projeto; e escolha definitiva do curso pretendido.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Após a definição dos estudantes e dos cursos que irão realizar, chega-se à etapa de composição das turmas. Neste momento são levados em consideração diversos critérios, que foram observados nas atividades anteriores. Entre outros, foram considerados: na redação – raciocínio lógico, coerência de ideias, visão crítica, ortografia; na oficina – desenvoltura e postura; nos debates – capacidade de trabalhar em grupo, organização, criatividade; além das habilidades potenciais para a ocupação pretendida.</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Da mesma forma que houve preocupação em relação à seleção dos estudantes, o mesmo ocorreu com a seleção dos professores. A seleção dos professores exige conhecimento específico na área em que leciona assim como experiência na lida com jovens de perfil semelhante aos abrangidos pelo projeto. Os professores passaram ainda por duas oficinas: de metodologia inclusiva e planejamento pedagógico.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lastRenderedPageBreak/>
        <w:t xml:space="preserve">O desenvolvimento dos cursos ficou designado ao Serviço Nacional de Aprendizagem Comercial – </w:t>
      </w:r>
      <w:r w:rsidR="002A1169" w:rsidRPr="00FD62A0">
        <w:rPr>
          <w:rFonts w:ascii="Arial" w:hAnsi="Arial" w:cs="Arial"/>
          <w:sz w:val="22"/>
          <w:szCs w:val="22"/>
          <w:lang/>
        </w:rPr>
        <w:t>SENAC</w:t>
      </w:r>
      <w:r w:rsidRPr="00FD62A0">
        <w:rPr>
          <w:rFonts w:ascii="Arial" w:hAnsi="Arial" w:cs="Arial"/>
          <w:sz w:val="22"/>
          <w:szCs w:val="22"/>
          <w:lang/>
        </w:rPr>
        <w:t>, que deve realizar a capacitação profissional dos jovens, baseado nas normas que regulamentam a educação nacional, conforme verificado no tópico seguinte.</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b/>
          <w:sz w:val="22"/>
          <w:szCs w:val="22"/>
          <w:lang/>
        </w:rPr>
      </w:pPr>
      <w:r w:rsidRPr="00FD62A0">
        <w:rPr>
          <w:rFonts w:ascii="Arial" w:hAnsi="Arial" w:cs="Arial"/>
          <w:b/>
          <w:sz w:val="22"/>
          <w:szCs w:val="22"/>
          <w:lang/>
        </w:rPr>
        <w:t>4.2.2. Proposta curricular da Instituição executora</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 xml:space="preserve">O </w:t>
      </w:r>
      <w:r w:rsidR="002A1169" w:rsidRPr="00FD62A0">
        <w:rPr>
          <w:rFonts w:ascii="Arial" w:hAnsi="Arial" w:cs="Arial"/>
          <w:sz w:val="22"/>
          <w:szCs w:val="22"/>
          <w:lang/>
        </w:rPr>
        <w:t>SENAC</w:t>
      </w:r>
      <w:r w:rsidRPr="00FD62A0">
        <w:rPr>
          <w:rFonts w:ascii="Arial" w:hAnsi="Arial" w:cs="Arial"/>
          <w:sz w:val="22"/>
          <w:szCs w:val="22"/>
          <w:lang/>
        </w:rPr>
        <w:t xml:space="preserve"> desenvolve os cursos com o intuito de estimular nos educandos conhecimentos, habilidades e atitudes que os beneficiem tanto em suas atividades produtivas quanto no desenvolvimento de sua cidadania. O currículo dos cursos foi estabelecido seguindo dois módulos principais que são o módulo integrador e o módulo específico da formação profissional. </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O integrador tem características mais sociais, focando em aspectos socioeconômicos e culturais relacionados ao setor turístico. São analisados principalmente temas sociais como ética, saúde qualidade na prestação de serviços, relações sociais, mercado de trabalho, entre outros.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O de formação profissional aplica aspectos relacionados à ocupação, atuando especificamente na capacitação profissional. Nesta fase, o curso passa aos estudantes as competências que devem desenvolver para as atividades escolhidas, os procedimentos operacionais, as habilidades pertinentes à sua formação.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Para ministrar as aulas e estimular o desenvolvimento das habilidades específicas nos estudantes, são utilizadas estratégias metodológicas específicas. São elas: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exposição dialogada;</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problematização;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situações problema;</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 vivência em situação real de trabalho.</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Conforme se pode apreender da didática mencionada, o curso busca estimular nos jovens, o trabalho em equipe, a capacidade para resolução de conflitos entre outras características comumente necessárias no mercado de trabalho. Os jovens devem sair do curso conhecendo a realida</w:t>
      </w:r>
      <w:r w:rsidR="00D1349B">
        <w:rPr>
          <w:rFonts w:ascii="Arial" w:hAnsi="Arial" w:cs="Arial"/>
          <w:sz w:val="22"/>
          <w:szCs w:val="22"/>
          <w:lang/>
        </w:rPr>
        <w:t>de do setor hoteleiro/turístico</w:t>
      </w:r>
      <w:r w:rsidRPr="00FD62A0">
        <w:rPr>
          <w:rFonts w:ascii="Arial" w:hAnsi="Arial" w:cs="Arial"/>
          <w:sz w:val="22"/>
          <w:szCs w:val="22"/>
          <w:lang/>
        </w:rPr>
        <w:t xml:space="preserve"> e aptos a lidar com as questões pertinentes.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t>A partir desta necessidade real de preparação, torna-se preciso acompanhamento contínuo em relação ao nível de aprendizagem dos alunos. A avaliação é frequente, progressiva e diagnóstica, abordando diversos aspetos sociais e operacionais. Por meio dela é possível constatar mudanças qualitativas nos alunos em relação a seu nível de conhecimentos e habilidades</w:t>
      </w:r>
    </w:p>
    <w:p w:rsidR="009F0C25" w:rsidRPr="00FD62A0" w:rsidRDefault="009F0C25" w:rsidP="00BF4427">
      <w:pPr>
        <w:autoSpaceDE w:val="0"/>
        <w:autoSpaceDN w:val="0"/>
        <w:adjustRightInd w:val="0"/>
        <w:spacing w:line="360" w:lineRule="auto"/>
        <w:ind w:firstLine="708"/>
        <w:jc w:val="both"/>
        <w:rPr>
          <w:rFonts w:ascii="Arial" w:hAnsi="Arial" w:cs="Arial"/>
          <w:sz w:val="22"/>
          <w:szCs w:val="22"/>
          <w:lang/>
        </w:rPr>
      </w:pPr>
      <w:r w:rsidRPr="00FD62A0">
        <w:rPr>
          <w:rFonts w:ascii="Arial" w:hAnsi="Arial" w:cs="Arial"/>
          <w:sz w:val="22"/>
          <w:szCs w:val="22"/>
          <w:lang/>
        </w:rPr>
        <w:lastRenderedPageBreak/>
        <w:t xml:space="preserve">A didática e </w:t>
      </w:r>
      <w:r w:rsidR="00D1349B">
        <w:rPr>
          <w:rFonts w:ascii="Arial" w:hAnsi="Arial" w:cs="Arial"/>
          <w:sz w:val="22"/>
          <w:szCs w:val="22"/>
          <w:lang/>
        </w:rPr>
        <w:t>acompanhamento supramencionados</w:t>
      </w:r>
      <w:r w:rsidRPr="00FD62A0">
        <w:rPr>
          <w:rFonts w:ascii="Arial" w:hAnsi="Arial" w:cs="Arial"/>
          <w:sz w:val="22"/>
          <w:szCs w:val="22"/>
          <w:lang/>
        </w:rPr>
        <w:t xml:space="preserve"> são aplicados em todos os cursos oferecidos. Cada curso possui seu perfil, onde são expostos tarefas, responsabilidades e postura relacionados ao desempenho da profissão.</w:t>
      </w:r>
    </w:p>
    <w:p w:rsidR="009F0C25" w:rsidRPr="00FD62A0" w:rsidRDefault="009F0C25" w:rsidP="00BF4427">
      <w:pPr>
        <w:autoSpaceDE w:val="0"/>
        <w:autoSpaceDN w:val="0"/>
        <w:adjustRightInd w:val="0"/>
        <w:spacing w:line="360" w:lineRule="auto"/>
        <w:jc w:val="both"/>
        <w:rPr>
          <w:rFonts w:ascii="Arial" w:hAnsi="Arial" w:cs="Arial"/>
          <w:sz w:val="22"/>
          <w:szCs w:val="22"/>
          <w:lang/>
        </w:rPr>
      </w:pPr>
      <w:r w:rsidRPr="00FD62A0">
        <w:rPr>
          <w:rFonts w:ascii="Arial" w:hAnsi="Arial" w:cs="Arial"/>
          <w:sz w:val="22"/>
          <w:szCs w:val="22"/>
          <w:lang/>
        </w:rPr>
        <w:tab/>
        <w:t>Por trás de toda a característica de projeto de inclusão social está o combate à exploração sexual, que ronda os jovens atendidos pelo projeto. Desta forma, os educadores atuam como agentes causadores de mudança, partindo da realidade da exploração, suas consequências, desafios e limites, tratando o tema de forma inclusiva e não discriminativa.  Dessa maneira, os cursos ministrados devem levar em consideração a realidade social dos jovens, as necessidades profissionais da comunidade em que irão atuar, entre outras características. Com base nestas necessidades, o curso é dividido em dois módulos, a serem analisados no tópico seguinte.</w:t>
      </w:r>
    </w:p>
    <w:p w:rsidR="00F117C7" w:rsidRPr="00FD62A0" w:rsidRDefault="009F0C25" w:rsidP="00BF4427">
      <w:pPr>
        <w:spacing w:line="360" w:lineRule="auto"/>
        <w:jc w:val="both"/>
        <w:rPr>
          <w:rFonts w:ascii="Arial" w:hAnsi="Arial" w:cs="Arial"/>
          <w:sz w:val="22"/>
          <w:szCs w:val="22"/>
          <w:lang/>
        </w:rPr>
      </w:pPr>
      <w:r w:rsidRPr="00FD62A0">
        <w:rPr>
          <w:rFonts w:ascii="Arial" w:hAnsi="Arial" w:cs="Arial"/>
          <w:sz w:val="22"/>
          <w:szCs w:val="22"/>
          <w:lang/>
        </w:rPr>
        <w:tab/>
      </w:r>
    </w:p>
    <w:p w:rsidR="009F0C25" w:rsidRPr="00FD62A0" w:rsidRDefault="009F0C25" w:rsidP="00BF4427">
      <w:pPr>
        <w:spacing w:line="360" w:lineRule="auto"/>
        <w:jc w:val="both"/>
        <w:rPr>
          <w:rFonts w:ascii="Arial" w:hAnsi="Arial" w:cs="Arial"/>
          <w:b/>
          <w:sz w:val="22"/>
          <w:szCs w:val="22"/>
          <w:lang/>
        </w:rPr>
      </w:pPr>
      <w:r w:rsidRPr="00FD62A0">
        <w:rPr>
          <w:rFonts w:ascii="Arial" w:hAnsi="Arial" w:cs="Arial"/>
          <w:b/>
          <w:sz w:val="22"/>
          <w:szCs w:val="22"/>
          <w:lang/>
        </w:rPr>
        <w:t>4.2.3. Execução do projeto</w:t>
      </w:r>
    </w:p>
    <w:p w:rsidR="009F0C25" w:rsidRPr="00FD62A0" w:rsidRDefault="009F0C25" w:rsidP="00BF4427">
      <w:pPr>
        <w:spacing w:line="360" w:lineRule="auto"/>
        <w:jc w:val="both"/>
        <w:rPr>
          <w:rFonts w:ascii="Arial" w:hAnsi="Arial" w:cs="Arial"/>
          <w:sz w:val="22"/>
          <w:szCs w:val="22"/>
          <w:lang/>
        </w:rPr>
      </w:pPr>
    </w:p>
    <w:p w:rsidR="009F0C25" w:rsidRPr="00FD62A0" w:rsidRDefault="009F0C25" w:rsidP="00BF4427">
      <w:pPr>
        <w:spacing w:line="360" w:lineRule="auto"/>
        <w:jc w:val="both"/>
        <w:rPr>
          <w:rFonts w:ascii="Arial" w:hAnsi="Arial" w:cs="Arial"/>
          <w:sz w:val="22"/>
          <w:szCs w:val="22"/>
          <w:lang/>
        </w:rPr>
      </w:pPr>
      <w:r w:rsidRPr="00FD62A0">
        <w:rPr>
          <w:rFonts w:ascii="Arial" w:hAnsi="Arial" w:cs="Arial"/>
          <w:sz w:val="22"/>
          <w:szCs w:val="22"/>
          <w:lang/>
        </w:rPr>
        <w:t>Para melhor atender as necessidades dos estudantes, os cursos são divididos em duas etapas principais, que são o Módulo Integrador e o Módulo Específico.</w:t>
      </w:r>
    </w:p>
    <w:p w:rsidR="009F0C25" w:rsidRPr="00FD62A0" w:rsidRDefault="009F0C25" w:rsidP="00BF4427">
      <w:pPr>
        <w:spacing w:line="360" w:lineRule="auto"/>
        <w:ind w:firstLine="720"/>
        <w:jc w:val="both"/>
        <w:rPr>
          <w:rFonts w:ascii="Arial" w:hAnsi="Arial" w:cs="Arial"/>
          <w:sz w:val="22"/>
          <w:szCs w:val="22"/>
          <w:lang/>
        </w:rPr>
      </w:pPr>
      <w:r w:rsidRPr="00FD62A0">
        <w:rPr>
          <w:rFonts w:ascii="Arial" w:hAnsi="Arial" w:cs="Arial"/>
          <w:sz w:val="22"/>
          <w:szCs w:val="22"/>
          <w:lang/>
        </w:rPr>
        <w:t>O Módulo Integrador é baseado nas expectativas em relação à vida, que os beneficiários d</w:t>
      </w:r>
      <w:r w:rsidR="00727DFC">
        <w:rPr>
          <w:rFonts w:ascii="Arial" w:hAnsi="Arial" w:cs="Arial"/>
          <w:sz w:val="22"/>
          <w:szCs w:val="22"/>
          <w:lang/>
        </w:rPr>
        <w:t>o Programa possuem. Desta forma</w:t>
      </w:r>
      <w:r w:rsidRPr="00FD62A0">
        <w:rPr>
          <w:rFonts w:ascii="Arial" w:hAnsi="Arial" w:cs="Arial"/>
          <w:sz w:val="22"/>
          <w:szCs w:val="22"/>
          <w:lang/>
        </w:rPr>
        <w:t xml:space="preserve"> são considerados a percepção que o jovem tem de si mesmo, sua visão de mundo e expe</w:t>
      </w:r>
      <w:r w:rsidR="00727DFC">
        <w:rPr>
          <w:rFonts w:ascii="Arial" w:hAnsi="Arial" w:cs="Arial"/>
          <w:sz w:val="22"/>
          <w:szCs w:val="22"/>
          <w:lang/>
        </w:rPr>
        <w:t>ctativas. Com base nestes dados</w:t>
      </w:r>
      <w:r w:rsidRPr="00FD62A0">
        <w:rPr>
          <w:rFonts w:ascii="Arial" w:hAnsi="Arial" w:cs="Arial"/>
          <w:sz w:val="22"/>
          <w:szCs w:val="22"/>
          <w:lang/>
        </w:rPr>
        <w:t xml:space="preserve"> são elaboradas as ações estratégicas. O módulo específico retrata as questões relacionadas à profissionalização, tratando das características técnicas e procedimentos operacionais referentes à profissão escolhida pelo jovem.</w:t>
      </w:r>
    </w:p>
    <w:p w:rsidR="009F0C25" w:rsidRPr="00FD62A0" w:rsidRDefault="009F0C25" w:rsidP="00BF4427">
      <w:pPr>
        <w:spacing w:line="360" w:lineRule="auto"/>
        <w:ind w:firstLine="720"/>
        <w:jc w:val="both"/>
        <w:rPr>
          <w:rFonts w:ascii="Arial" w:hAnsi="Arial" w:cs="Arial"/>
          <w:sz w:val="22"/>
          <w:szCs w:val="22"/>
          <w:lang/>
        </w:rPr>
      </w:pPr>
      <w:r w:rsidRPr="00FD62A0">
        <w:rPr>
          <w:rFonts w:ascii="Arial" w:hAnsi="Arial" w:cs="Arial"/>
          <w:sz w:val="22"/>
          <w:szCs w:val="22"/>
          <w:lang/>
        </w:rPr>
        <w:t>O módulo integrador estimula os alunos a se interrelacionarem com os demais. Eles são levados a desenvolver ações estratégicas nas diversas dimensões da vida, como família, saúde, vida profissional, trabalho, e outras tantas. As ações devem ainda ser relacionadas às demandas profissionais. Ao final do módulo, os jovens montam portfólio com suas aspirações, a partir da reflexão pessoal.</w:t>
      </w:r>
    </w:p>
    <w:p w:rsidR="009F0C25" w:rsidRPr="00FD62A0" w:rsidRDefault="009F0C25" w:rsidP="00BF4427">
      <w:pPr>
        <w:spacing w:line="360" w:lineRule="auto"/>
        <w:ind w:firstLine="720"/>
        <w:jc w:val="both"/>
        <w:rPr>
          <w:rFonts w:ascii="Arial" w:hAnsi="Arial" w:cs="Arial"/>
          <w:sz w:val="22"/>
          <w:szCs w:val="22"/>
          <w:lang/>
        </w:rPr>
      </w:pPr>
      <w:r w:rsidRPr="00FD62A0">
        <w:rPr>
          <w:rFonts w:ascii="Arial" w:hAnsi="Arial" w:cs="Arial"/>
          <w:sz w:val="22"/>
          <w:szCs w:val="22"/>
          <w:lang/>
        </w:rPr>
        <w:t>Tais atividades possibilitaram significativo envolvimento entre os estudantes que participaram, despertando</w:t>
      </w:r>
      <w:r w:rsidR="00727DFC">
        <w:rPr>
          <w:rFonts w:ascii="Arial" w:hAnsi="Arial" w:cs="Arial"/>
          <w:sz w:val="22"/>
          <w:szCs w:val="22"/>
          <w:lang/>
        </w:rPr>
        <w:t>,</w:t>
      </w:r>
      <w:r w:rsidRPr="00FD62A0">
        <w:rPr>
          <w:rFonts w:ascii="Arial" w:hAnsi="Arial" w:cs="Arial"/>
          <w:sz w:val="22"/>
          <w:szCs w:val="22"/>
          <w:lang/>
        </w:rPr>
        <w:t xml:space="preserve"> nos mesmos</w:t>
      </w:r>
      <w:r w:rsidR="00727DFC">
        <w:rPr>
          <w:rFonts w:ascii="Arial" w:hAnsi="Arial" w:cs="Arial"/>
          <w:sz w:val="22"/>
          <w:szCs w:val="22"/>
          <w:lang/>
        </w:rPr>
        <w:t>,</w:t>
      </w:r>
      <w:r w:rsidRPr="00FD62A0">
        <w:rPr>
          <w:rFonts w:ascii="Arial" w:hAnsi="Arial" w:cs="Arial"/>
          <w:sz w:val="22"/>
          <w:szCs w:val="22"/>
          <w:lang/>
        </w:rPr>
        <w:t xml:space="preserve"> valores antes não cultivados ou pouco considerados. Entre esses valores estão o respeito, a flexibilidade, a humildade, a </w:t>
      </w:r>
      <w:r w:rsidR="004D4127" w:rsidRPr="00FD62A0">
        <w:rPr>
          <w:rFonts w:ascii="Arial" w:hAnsi="Arial" w:cs="Arial"/>
          <w:sz w:val="22"/>
          <w:szCs w:val="22"/>
          <w:lang/>
        </w:rPr>
        <w:t>u</w:t>
      </w:r>
      <w:r w:rsidRPr="00FD62A0">
        <w:rPr>
          <w:rFonts w:ascii="Arial" w:hAnsi="Arial" w:cs="Arial"/>
          <w:sz w:val="22"/>
          <w:szCs w:val="22"/>
          <w:lang/>
        </w:rPr>
        <w:t>nião, assim como tantos outros necessários à vida em sociedade e ao sucesso profissional.</w:t>
      </w:r>
    </w:p>
    <w:p w:rsidR="009F0C25" w:rsidRPr="00FD62A0" w:rsidRDefault="009F0C25" w:rsidP="00BF4427">
      <w:pPr>
        <w:spacing w:line="360" w:lineRule="auto"/>
        <w:ind w:firstLine="720"/>
        <w:jc w:val="both"/>
        <w:rPr>
          <w:rFonts w:ascii="Arial" w:hAnsi="Arial" w:cs="Arial"/>
          <w:sz w:val="22"/>
          <w:szCs w:val="22"/>
          <w:lang/>
        </w:rPr>
      </w:pPr>
      <w:r w:rsidRPr="00FD62A0">
        <w:rPr>
          <w:rFonts w:ascii="Arial" w:hAnsi="Arial" w:cs="Arial"/>
          <w:sz w:val="22"/>
          <w:szCs w:val="22"/>
          <w:lang/>
        </w:rPr>
        <w:t xml:space="preserve">O módulo específico, voltado à formação profissional, conta com 60 horas de prática supervisionada, dentro das instituições participantes do projeto, sendo todas relacionadas à cadeia produtiva do turismo. As aulas práticas são supervisionadas por instrutores e supervisores pedagógicos, garantindo liberdade aos jovens durante o processo de aprendizagem. Outro benefício das aulas em campo, é que as mesmas </w:t>
      </w:r>
      <w:r w:rsidRPr="00FD62A0">
        <w:rPr>
          <w:rFonts w:ascii="Arial" w:hAnsi="Arial" w:cs="Arial"/>
          <w:sz w:val="22"/>
          <w:szCs w:val="22"/>
          <w:lang/>
        </w:rPr>
        <w:lastRenderedPageBreak/>
        <w:t>possibilitam aos empresários acompanhar o desenvolvimento dos jovens que virão a ser contratados posteriormente.</w:t>
      </w:r>
    </w:p>
    <w:p w:rsidR="00F117C7" w:rsidRPr="00FD62A0" w:rsidRDefault="00F117C7" w:rsidP="00BF4427">
      <w:pPr>
        <w:spacing w:line="360" w:lineRule="auto"/>
        <w:ind w:firstLine="720"/>
        <w:jc w:val="both"/>
        <w:rPr>
          <w:rFonts w:ascii="Arial" w:hAnsi="Arial" w:cs="Arial"/>
          <w:sz w:val="22"/>
          <w:szCs w:val="22"/>
          <w:lang/>
        </w:rPr>
      </w:pPr>
    </w:p>
    <w:p w:rsidR="009F0C25" w:rsidRPr="00FD62A0" w:rsidRDefault="009F0C25" w:rsidP="00BF4427">
      <w:pPr>
        <w:spacing w:line="360" w:lineRule="auto"/>
        <w:jc w:val="both"/>
        <w:rPr>
          <w:rFonts w:ascii="Arial" w:hAnsi="Arial" w:cs="Arial"/>
          <w:b/>
          <w:sz w:val="22"/>
          <w:szCs w:val="22"/>
          <w:lang/>
        </w:rPr>
      </w:pPr>
      <w:r w:rsidRPr="00FD62A0">
        <w:rPr>
          <w:rFonts w:ascii="Arial" w:hAnsi="Arial" w:cs="Arial"/>
          <w:b/>
          <w:sz w:val="22"/>
          <w:szCs w:val="22"/>
          <w:lang/>
        </w:rPr>
        <w:t>4.2.4. Resultados:</w:t>
      </w:r>
    </w:p>
    <w:p w:rsidR="009F0C25" w:rsidRPr="00FD62A0" w:rsidRDefault="009F0C25" w:rsidP="00BF4427">
      <w:pPr>
        <w:spacing w:line="360" w:lineRule="auto"/>
        <w:jc w:val="both"/>
        <w:rPr>
          <w:rFonts w:ascii="Arial" w:hAnsi="Arial" w:cs="Arial"/>
          <w:sz w:val="22"/>
          <w:szCs w:val="22"/>
          <w:lang/>
        </w:rPr>
      </w:pPr>
    </w:p>
    <w:p w:rsidR="00DB33B2" w:rsidRPr="00FD62A0" w:rsidRDefault="00DB33B2" w:rsidP="00BF4427">
      <w:pPr>
        <w:spacing w:line="360" w:lineRule="auto"/>
        <w:jc w:val="both"/>
        <w:rPr>
          <w:rFonts w:ascii="Arial" w:hAnsi="Arial" w:cs="Arial"/>
          <w:sz w:val="22"/>
          <w:szCs w:val="22"/>
          <w:lang/>
        </w:rPr>
      </w:pPr>
      <w:r w:rsidRPr="00FD62A0">
        <w:rPr>
          <w:rFonts w:ascii="Arial" w:hAnsi="Arial" w:cs="Arial"/>
          <w:sz w:val="22"/>
          <w:szCs w:val="22"/>
          <w:lang/>
        </w:rPr>
        <w:t>Dentro da cadeia produtiva do turismo, os jovens poderiam subdividir-se em três tipos de empreendimentos: os hoteleiros, os relacionados a alimentos e bebidas e os de eventos. Sua distribuição ocorreu da seguinte maneira:</w:t>
      </w:r>
    </w:p>
    <w:p w:rsidR="00DB33B2" w:rsidRPr="00FD62A0" w:rsidRDefault="00DB33B2" w:rsidP="00BF4427">
      <w:pPr>
        <w:spacing w:line="360" w:lineRule="auto"/>
        <w:jc w:val="both"/>
        <w:rPr>
          <w:rFonts w:ascii="Arial" w:hAnsi="Arial" w:cs="Arial"/>
          <w:sz w:val="22"/>
          <w:szCs w:val="22"/>
          <w:lang/>
        </w:rPr>
      </w:pPr>
    </w:p>
    <w:p w:rsidR="00DB33B2" w:rsidRPr="00FD62A0" w:rsidRDefault="00DB33B2" w:rsidP="00BF4427">
      <w:pPr>
        <w:spacing w:line="360" w:lineRule="auto"/>
        <w:jc w:val="center"/>
        <w:rPr>
          <w:rFonts w:ascii="Arial" w:hAnsi="Arial" w:cs="Arial"/>
          <w:b/>
          <w:sz w:val="22"/>
          <w:szCs w:val="22"/>
          <w:lang/>
        </w:rPr>
      </w:pPr>
      <w:r w:rsidRPr="00FD62A0">
        <w:rPr>
          <w:rFonts w:ascii="Arial" w:hAnsi="Arial" w:cs="Arial"/>
          <w:b/>
          <w:sz w:val="22"/>
          <w:szCs w:val="22"/>
          <w:lang/>
        </w:rPr>
        <w:t>Gráfico 4.6. Distribuição dos cursos Turismo Sustentável e Infância:</w:t>
      </w:r>
    </w:p>
    <w:p w:rsidR="00DB33B2" w:rsidRPr="00FD62A0" w:rsidRDefault="00DB33B2" w:rsidP="00BF4427">
      <w:pPr>
        <w:spacing w:line="360" w:lineRule="auto"/>
        <w:jc w:val="center"/>
        <w:rPr>
          <w:rFonts w:ascii="Arial" w:hAnsi="Arial" w:cs="Arial"/>
          <w:sz w:val="22"/>
          <w:szCs w:val="22"/>
          <w:lang/>
        </w:rPr>
      </w:pPr>
      <w:r w:rsidRPr="00FD62A0">
        <w:rPr>
          <w:noProof/>
          <w:sz w:val="22"/>
          <w:szCs w:val="22"/>
        </w:rPr>
        <w:pict>
          <v:shape id="_x0000_s1043" type="#_x0000_t202" style="position:absolute;left:0;text-align:left;margin-left:75.5pt;margin-top:173.3pt;width:332.95pt;height:20.6pt;z-index:251657728;mso-height-percent:200;mso-height-percent:200;mso-width-relative:margin;mso-height-relative:margin" strokecolor="white">
            <v:textbox style="mso-next-textbox:#_x0000_s1043;mso-fit-shape-to-text:t">
              <w:txbxContent>
                <w:p w:rsidR="00F478F9" w:rsidRPr="00F117C7" w:rsidRDefault="00F478F9" w:rsidP="00DB33B2">
                  <w:pPr>
                    <w:jc w:val="center"/>
                    <w:rPr>
                      <w:rFonts w:ascii="Arial" w:hAnsi="Arial" w:cs="Arial"/>
                      <w:sz w:val="22"/>
                      <w:szCs w:val="22"/>
                    </w:rPr>
                  </w:pPr>
                  <w:r>
                    <w:rPr>
                      <w:rFonts w:ascii="Arial" w:hAnsi="Arial" w:cs="Arial"/>
                      <w:sz w:val="22"/>
                      <w:szCs w:val="22"/>
                    </w:rPr>
                    <w:t xml:space="preserve"> </w:t>
                  </w:r>
                  <w:r w:rsidRPr="00F117C7">
                    <w:rPr>
                      <w:rFonts w:ascii="Arial" w:hAnsi="Arial" w:cs="Arial"/>
                      <w:sz w:val="22"/>
                      <w:szCs w:val="22"/>
                    </w:rPr>
                    <w:t>Fonte: Dados obtidos junto à equipe técnica de Fortaleza</w:t>
                  </w:r>
                </w:p>
              </w:txbxContent>
            </v:textbox>
          </v:shape>
        </w:pict>
      </w:r>
      <w:r w:rsidR="00765105">
        <w:rPr>
          <w:noProof/>
          <w:sz w:val="22"/>
          <w:szCs w:val="22"/>
        </w:rPr>
        <w:drawing>
          <wp:inline distT="0" distB="0" distL="0" distR="0">
            <wp:extent cx="4733925" cy="2238375"/>
            <wp:effectExtent l="0" t="0" r="0" b="0"/>
            <wp:docPr id="13" name="Objeto 1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B33B2" w:rsidRPr="00FD62A0" w:rsidRDefault="00DB33B2" w:rsidP="00BF4427">
      <w:pPr>
        <w:spacing w:line="360" w:lineRule="auto"/>
        <w:ind w:firstLine="720"/>
        <w:jc w:val="both"/>
        <w:rPr>
          <w:rFonts w:ascii="Arial" w:hAnsi="Arial" w:cs="Arial"/>
          <w:sz w:val="22"/>
          <w:szCs w:val="22"/>
          <w:lang/>
        </w:rPr>
      </w:pPr>
    </w:p>
    <w:p w:rsidR="00F117C7" w:rsidRPr="00FD62A0" w:rsidRDefault="00F117C7" w:rsidP="00BF4427">
      <w:pPr>
        <w:spacing w:line="360" w:lineRule="auto"/>
        <w:ind w:firstLine="720"/>
        <w:jc w:val="both"/>
        <w:rPr>
          <w:rFonts w:ascii="Arial" w:hAnsi="Arial" w:cs="Arial"/>
          <w:sz w:val="22"/>
          <w:szCs w:val="22"/>
          <w:lang/>
        </w:rPr>
      </w:pPr>
    </w:p>
    <w:p w:rsidR="00DB33B2" w:rsidRPr="00FD62A0" w:rsidRDefault="00DB33B2" w:rsidP="00BF4427">
      <w:pPr>
        <w:spacing w:line="360" w:lineRule="auto"/>
        <w:ind w:firstLine="720"/>
        <w:jc w:val="both"/>
        <w:rPr>
          <w:rFonts w:ascii="Arial" w:hAnsi="Arial" w:cs="Arial"/>
          <w:sz w:val="22"/>
          <w:szCs w:val="22"/>
          <w:lang/>
        </w:rPr>
      </w:pPr>
      <w:r w:rsidRPr="00FD62A0">
        <w:rPr>
          <w:rFonts w:ascii="Arial" w:hAnsi="Arial" w:cs="Arial"/>
          <w:sz w:val="22"/>
          <w:szCs w:val="22"/>
          <w:lang/>
        </w:rPr>
        <w:t>Dos 371 alunos matriculados, 350 terminaram o curso, em detrimento de 21 que não concluíram. Entre os que não concluíram, há desistentes, evadidos e não aprovados, conforme demonstrado no gráfico 4.7, abaixo:</w:t>
      </w:r>
    </w:p>
    <w:p w:rsidR="004B7AFC" w:rsidRDefault="004B7AFC" w:rsidP="00BF4427">
      <w:pPr>
        <w:spacing w:line="360" w:lineRule="auto"/>
        <w:ind w:firstLine="720"/>
        <w:jc w:val="both"/>
        <w:rPr>
          <w:rFonts w:ascii="Arial" w:hAnsi="Arial" w:cs="Arial"/>
          <w:sz w:val="22"/>
          <w:szCs w:val="22"/>
          <w:lang/>
        </w:rPr>
      </w:pPr>
    </w:p>
    <w:p w:rsidR="00DB33B2" w:rsidRPr="00FD62A0" w:rsidRDefault="00DB33B2" w:rsidP="00BF4427">
      <w:pPr>
        <w:spacing w:line="360" w:lineRule="auto"/>
        <w:ind w:firstLine="720"/>
        <w:jc w:val="both"/>
        <w:rPr>
          <w:rFonts w:ascii="Arial" w:hAnsi="Arial" w:cs="Arial"/>
          <w:b/>
          <w:sz w:val="22"/>
          <w:szCs w:val="22"/>
          <w:lang/>
        </w:rPr>
      </w:pPr>
      <w:r w:rsidRPr="00FD62A0">
        <w:rPr>
          <w:rFonts w:ascii="Arial" w:hAnsi="Arial" w:cs="Arial"/>
          <w:b/>
          <w:sz w:val="22"/>
          <w:szCs w:val="22"/>
          <w:lang/>
        </w:rPr>
        <w:t>Gráfico 4.7. Conclusão dos cursos Turismo Sustentável e Infância:</w:t>
      </w:r>
    </w:p>
    <w:p w:rsidR="00DB33B2" w:rsidRPr="00FD62A0" w:rsidRDefault="00CD409D" w:rsidP="00BF4427">
      <w:pPr>
        <w:spacing w:line="360" w:lineRule="auto"/>
        <w:ind w:firstLine="720"/>
        <w:jc w:val="both"/>
        <w:rPr>
          <w:sz w:val="22"/>
          <w:szCs w:val="22"/>
        </w:rPr>
      </w:pPr>
      <w:r w:rsidRPr="00FD62A0">
        <w:rPr>
          <w:rFonts w:ascii="Arial" w:hAnsi="Arial" w:cs="Arial"/>
          <w:noProof/>
          <w:sz w:val="22"/>
          <w:szCs w:val="22"/>
        </w:rPr>
        <w:pict>
          <v:shape id="_x0000_s1044" type="#_x0000_t202" style="position:absolute;left:0;text-align:left;margin-left:108.75pt;margin-top:162.2pt;width:318.25pt;height:20.6pt;z-index:251658752;mso-height-percent:200;mso-height-percent:200;mso-width-relative:margin;mso-height-relative:margin" strokecolor="white">
            <v:textbox style="mso-next-textbox:#_x0000_s1044;mso-fit-shape-to-text:t">
              <w:txbxContent>
                <w:p w:rsidR="00F478F9" w:rsidRPr="00F117C7" w:rsidRDefault="00F478F9" w:rsidP="00F117C7">
                  <w:pPr>
                    <w:rPr>
                      <w:rFonts w:ascii="Arial" w:hAnsi="Arial" w:cs="Arial"/>
                      <w:sz w:val="22"/>
                      <w:szCs w:val="22"/>
                    </w:rPr>
                  </w:pPr>
                  <w:r w:rsidRPr="00F117C7">
                    <w:rPr>
                      <w:rFonts w:ascii="Arial" w:hAnsi="Arial" w:cs="Arial"/>
                      <w:sz w:val="22"/>
                      <w:szCs w:val="22"/>
                    </w:rPr>
                    <w:t>Fonte: Dados obtidos junto à equipe técnica de Fortaleza</w:t>
                  </w:r>
                </w:p>
              </w:txbxContent>
            </v:textbox>
          </v:shape>
        </w:pict>
      </w:r>
      <w:r w:rsidR="00765105">
        <w:rPr>
          <w:noProof/>
          <w:sz w:val="22"/>
          <w:szCs w:val="22"/>
        </w:rPr>
        <w:drawing>
          <wp:inline distT="0" distB="0" distL="0" distR="0">
            <wp:extent cx="4391025" cy="2114550"/>
            <wp:effectExtent l="0" t="0" r="0" b="0"/>
            <wp:docPr id="14" name="Objeto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DB33B2" w:rsidRPr="00FD62A0" w:rsidRDefault="00DB33B2" w:rsidP="00BF4427">
      <w:pPr>
        <w:spacing w:line="360" w:lineRule="auto"/>
        <w:ind w:firstLine="720"/>
        <w:jc w:val="both"/>
        <w:rPr>
          <w:rFonts w:ascii="Arial" w:hAnsi="Arial" w:cs="Arial"/>
          <w:sz w:val="22"/>
          <w:szCs w:val="22"/>
          <w:lang/>
        </w:rPr>
      </w:pPr>
    </w:p>
    <w:p w:rsidR="00DB33B2" w:rsidRPr="00FD62A0" w:rsidRDefault="00DB33B2" w:rsidP="00CD409D">
      <w:pPr>
        <w:spacing w:line="360" w:lineRule="auto"/>
        <w:jc w:val="both"/>
        <w:rPr>
          <w:rFonts w:ascii="Arial" w:hAnsi="Arial" w:cs="Arial"/>
          <w:sz w:val="22"/>
          <w:szCs w:val="22"/>
          <w:lang/>
        </w:rPr>
      </w:pPr>
      <w:r w:rsidRPr="00FD62A0">
        <w:rPr>
          <w:rFonts w:ascii="Arial" w:hAnsi="Arial" w:cs="Arial"/>
          <w:sz w:val="22"/>
          <w:szCs w:val="22"/>
          <w:lang/>
        </w:rPr>
        <w:lastRenderedPageBreak/>
        <w:tab/>
        <w:t xml:space="preserve">O percentual de jovens que concluíram os cursos retrata a responsabilidade dos estudantes em relação às aulas, e a importância que estas </w:t>
      </w:r>
      <w:r w:rsidR="00727DFC" w:rsidRPr="00FD62A0">
        <w:rPr>
          <w:rFonts w:ascii="Arial" w:hAnsi="Arial" w:cs="Arial"/>
          <w:sz w:val="22"/>
          <w:szCs w:val="22"/>
          <w:lang/>
        </w:rPr>
        <w:t>têm</w:t>
      </w:r>
      <w:r w:rsidRPr="00FD62A0">
        <w:rPr>
          <w:rFonts w:ascii="Arial" w:hAnsi="Arial" w:cs="Arial"/>
          <w:sz w:val="22"/>
          <w:szCs w:val="22"/>
          <w:lang/>
        </w:rPr>
        <w:t xml:space="preserve"> na vida dos jovens. O curso que teve menor número de estudantes que não concluíram foi o de recepcionista dos meios de hospedagem, com apenas 1% de não concluíntes. O que teve maior número de jovens que não concluíram foi o de camareira, com 10%.</w:t>
      </w:r>
    </w:p>
    <w:p w:rsidR="00DB33B2" w:rsidRPr="00FD62A0" w:rsidRDefault="00DB33B2" w:rsidP="00BF4427">
      <w:pPr>
        <w:spacing w:line="360" w:lineRule="auto"/>
        <w:ind w:firstLine="720"/>
        <w:jc w:val="both"/>
        <w:rPr>
          <w:rFonts w:ascii="Arial" w:hAnsi="Arial" w:cs="Arial"/>
          <w:sz w:val="22"/>
          <w:szCs w:val="22"/>
          <w:lang/>
        </w:rPr>
      </w:pPr>
      <w:r w:rsidRPr="00FD62A0">
        <w:rPr>
          <w:rFonts w:ascii="Arial" w:hAnsi="Arial" w:cs="Arial"/>
          <w:sz w:val="22"/>
          <w:szCs w:val="22"/>
          <w:lang/>
        </w:rPr>
        <w:t>Para que tais resultados fossem alcançados, o Projeto contou com a participação de diversos empreendimentos turísticos que possibilitaram a capacitação profissional dos jovens em campo, além de processos seletivos aos recém formados.</w:t>
      </w:r>
    </w:p>
    <w:p w:rsidR="00DB33B2" w:rsidRPr="00FD62A0" w:rsidRDefault="00DB33B2" w:rsidP="00BF4427">
      <w:pPr>
        <w:spacing w:line="360" w:lineRule="auto"/>
        <w:ind w:firstLine="720"/>
        <w:jc w:val="both"/>
        <w:rPr>
          <w:rFonts w:ascii="Arial" w:hAnsi="Arial" w:cs="Arial"/>
          <w:sz w:val="22"/>
          <w:szCs w:val="22"/>
          <w:lang/>
        </w:rPr>
      </w:pPr>
      <w:r w:rsidRPr="00FD62A0">
        <w:rPr>
          <w:rFonts w:ascii="Arial" w:hAnsi="Arial" w:cs="Arial"/>
          <w:sz w:val="22"/>
          <w:szCs w:val="22"/>
          <w:lang/>
        </w:rPr>
        <w:t>Conforme analisado no decorrer do capítulo, ambos os projetos visam atender a jovens em situação de vulnerabilidade ou jovens já afetados pela exploração sexual. Os dois cumprem o objetivo ao qual se propuseram de tirar os jovens atendidos da rede de exploração sexual, através da educação profissionalizante. A partir das oportunidades oferecidas aos jovens, estes se sentem aptos a se reinserirem na sociedade, assumindo seus papeis de cidadãos tanto na esfera dos direitos quanto na dos deveres.</w:t>
      </w:r>
    </w:p>
    <w:p w:rsidR="008825C6" w:rsidRPr="008354D2" w:rsidRDefault="005867EB" w:rsidP="008825C6">
      <w:pPr>
        <w:spacing w:line="360" w:lineRule="auto"/>
        <w:jc w:val="both"/>
        <w:rPr>
          <w:rFonts w:ascii="Arial" w:hAnsi="Arial" w:cs="Arial"/>
          <w:b/>
          <w:sz w:val="22"/>
          <w:szCs w:val="22"/>
          <w:lang/>
        </w:rPr>
      </w:pPr>
      <w:r w:rsidRPr="00FD62A0">
        <w:rPr>
          <w:rFonts w:ascii="Arial" w:hAnsi="Arial" w:cs="Arial"/>
          <w:b/>
          <w:sz w:val="22"/>
          <w:szCs w:val="22"/>
          <w:lang/>
        </w:rPr>
        <w:br w:type="page"/>
      </w:r>
      <w:r w:rsidR="006B7B8F" w:rsidRPr="00FD62A0">
        <w:rPr>
          <w:rFonts w:ascii="Arial" w:hAnsi="Arial" w:cs="Arial"/>
          <w:b/>
          <w:sz w:val="22"/>
          <w:szCs w:val="22"/>
          <w:lang/>
        </w:rPr>
        <w:lastRenderedPageBreak/>
        <w:br w:type="page"/>
      </w:r>
      <w:r w:rsidR="008825C6" w:rsidRPr="008354D2">
        <w:rPr>
          <w:rFonts w:ascii="Arial" w:hAnsi="Arial" w:cs="Arial"/>
          <w:b/>
          <w:sz w:val="22"/>
          <w:szCs w:val="22"/>
          <w:lang/>
        </w:rPr>
        <w:lastRenderedPageBreak/>
        <w:t>CONCLUSÃO</w:t>
      </w:r>
    </w:p>
    <w:p w:rsidR="008825C6" w:rsidRPr="008354D2" w:rsidRDefault="008825C6" w:rsidP="008825C6">
      <w:pPr>
        <w:spacing w:line="360" w:lineRule="auto"/>
        <w:jc w:val="both"/>
        <w:rPr>
          <w:rFonts w:ascii="Arial" w:hAnsi="Arial" w:cs="Arial"/>
          <w:sz w:val="22"/>
          <w:szCs w:val="22"/>
          <w:lang/>
        </w:rPr>
      </w:pPr>
    </w:p>
    <w:p w:rsidR="008825C6" w:rsidRPr="00DA39E7" w:rsidRDefault="008825C6" w:rsidP="00DA39E7">
      <w:pPr>
        <w:spacing w:line="360" w:lineRule="auto"/>
        <w:jc w:val="both"/>
        <w:rPr>
          <w:rFonts w:ascii="Arial" w:hAnsi="Arial" w:cs="Arial"/>
          <w:sz w:val="22"/>
          <w:szCs w:val="22"/>
          <w:lang/>
        </w:rPr>
      </w:pPr>
      <w:r w:rsidRPr="00DA39E7">
        <w:rPr>
          <w:rFonts w:ascii="Arial" w:hAnsi="Arial" w:cs="Arial"/>
          <w:sz w:val="22"/>
          <w:szCs w:val="22"/>
          <w:lang/>
        </w:rPr>
        <w:t xml:space="preserve">O presente trabalho objetivou demonstrar que, por meio da parceria entre Estado, setor privado e sociedade civil, é possível combater problemas sociais </w:t>
      </w:r>
      <w:r w:rsidR="00A31BCF" w:rsidRPr="00DA39E7">
        <w:rPr>
          <w:rFonts w:ascii="Arial" w:hAnsi="Arial" w:cs="Arial"/>
          <w:sz w:val="22"/>
          <w:szCs w:val="22"/>
          <w:lang/>
        </w:rPr>
        <w:t>graves</w:t>
      </w:r>
      <w:r w:rsidRPr="00DA39E7">
        <w:rPr>
          <w:rFonts w:ascii="Arial" w:hAnsi="Arial" w:cs="Arial"/>
          <w:sz w:val="22"/>
          <w:szCs w:val="22"/>
          <w:lang/>
        </w:rPr>
        <w:t>, como a exp</w:t>
      </w:r>
      <w:r w:rsidR="00A31BCF" w:rsidRPr="00DA39E7">
        <w:rPr>
          <w:rFonts w:ascii="Arial" w:hAnsi="Arial" w:cs="Arial"/>
          <w:sz w:val="22"/>
          <w:szCs w:val="22"/>
          <w:lang/>
        </w:rPr>
        <w:t xml:space="preserve">loração sexual </w:t>
      </w:r>
      <w:r w:rsidR="00A85E06">
        <w:rPr>
          <w:rFonts w:ascii="Arial" w:hAnsi="Arial" w:cs="Arial"/>
          <w:sz w:val="22"/>
          <w:szCs w:val="22"/>
          <w:lang/>
        </w:rPr>
        <w:t>infantojuvenil</w:t>
      </w:r>
      <w:r w:rsidR="00A31BCF" w:rsidRPr="00DA39E7">
        <w:rPr>
          <w:rFonts w:ascii="Arial" w:hAnsi="Arial" w:cs="Arial"/>
          <w:sz w:val="22"/>
          <w:szCs w:val="22"/>
          <w:lang/>
        </w:rPr>
        <w:t>, que antes o Estado não enfrentava por falta de vontade  política ou de estrutura administrativa.</w:t>
      </w:r>
    </w:p>
    <w:p w:rsidR="008825C6" w:rsidRPr="00DA39E7" w:rsidRDefault="008825C6" w:rsidP="008825C6">
      <w:pPr>
        <w:spacing w:line="360" w:lineRule="auto"/>
        <w:jc w:val="both"/>
        <w:rPr>
          <w:rFonts w:ascii="Arial" w:hAnsi="Arial" w:cs="Arial"/>
          <w:sz w:val="22"/>
          <w:szCs w:val="22"/>
          <w:lang/>
        </w:rPr>
      </w:pPr>
      <w:r w:rsidRPr="00DA39E7">
        <w:rPr>
          <w:rFonts w:ascii="Arial" w:hAnsi="Arial" w:cs="Arial"/>
          <w:sz w:val="22"/>
          <w:szCs w:val="22"/>
          <w:lang/>
        </w:rPr>
        <w:tab/>
        <w:t>Conforme analisado no decorrer do trabalho, o Estado e a</w:t>
      </w:r>
      <w:r w:rsidR="00ED6DD3">
        <w:rPr>
          <w:rFonts w:ascii="Arial" w:hAnsi="Arial" w:cs="Arial"/>
          <w:sz w:val="22"/>
          <w:szCs w:val="22"/>
          <w:lang/>
        </w:rPr>
        <w:t xml:space="preserve"> forma como este é administrado</w:t>
      </w:r>
      <w:r w:rsidRPr="00DA39E7">
        <w:rPr>
          <w:rFonts w:ascii="Arial" w:hAnsi="Arial" w:cs="Arial"/>
          <w:sz w:val="22"/>
          <w:szCs w:val="22"/>
          <w:lang/>
        </w:rPr>
        <w:t xml:space="preserve"> mudam com o decorrer do tempo, de acordo com necessidades que venham a surgir. Seguindo as recentes vertentes de mudanças, o Estado vem abrindo espaço para que </w:t>
      </w:r>
      <w:r w:rsidR="00732206" w:rsidRPr="00DA39E7">
        <w:rPr>
          <w:rFonts w:ascii="Arial" w:hAnsi="Arial" w:cs="Arial"/>
          <w:sz w:val="22"/>
          <w:szCs w:val="22"/>
          <w:lang/>
        </w:rPr>
        <w:t>diferentes</w:t>
      </w:r>
      <w:r w:rsidRPr="00DA39E7">
        <w:rPr>
          <w:rFonts w:ascii="Arial" w:hAnsi="Arial" w:cs="Arial"/>
          <w:sz w:val="22"/>
          <w:szCs w:val="22"/>
          <w:lang/>
        </w:rPr>
        <w:t xml:space="preserve"> atores tomem parte em ações de grande relevância para a sociedade.</w:t>
      </w:r>
    </w:p>
    <w:p w:rsidR="00732206" w:rsidRPr="00DA39E7" w:rsidRDefault="008825C6" w:rsidP="008825C6">
      <w:pPr>
        <w:spacing w:line="360" w:lineRule="auto"/>
        <w:jc w:val="both"/>
        <w:rPr>
          <w:rFonts w:ascii="Arial" w:hAnsi="Arial" w:cs="Arial"/>
          <w:sz w:val="22"/>
          <w:szCs w:val="22"/>
          <w:lang/>
        </w:rPr>
      </w:pPr>
      <w:r w:rsidRPr="00DA39E7">
        <w:rPr>
          <w:rFonts w:ascii="Arial" w:hAnsi="Arial" w:cs="Arial"/>
          <w:sz w:val="22"/>
          <w:szCs w:val="22"/>
          <w:lang/>
        </w:rPr>
        <w:tab/>
        <w:t xml:space="preserve">Nesse sentido, os projetos de parceria público-privada </w:t>
      </w:r>
      <w:r w:rsidR="00732206" w:rsidRPr="00DA39E7">
        <w:rPr>
          <w:rFonts w:ascii="Arial" w:hAnsi="Arial" w:cs="Arial"/>
          <w:sz w:val="22"/>
          <w:szCs w:val="22"/>
          <w:lang/>
        </w:rPr>
        <w:t xml:space="preserve">em estudo </w:t>
      </w:r>
      <w:r w:rsidRPr="00DA39E7">
        <w:rPr>
          <w:rFonts w:ascii="Arial" w:hAnsi="Arial" w:cs="Arial"/>
          <w:sz w:val="22"/>
          <w:szCs w:val="22"/>
          <w:lang/>
        </w:rPr>
        <w:t xml:space="preserve">demonstram ter </w:t>
      </w:r>
      <w:r w:rsidR="00B4336B" w:rsidRPr="00DA39E7">
        <w:rPr>
          <w:rFonts w:ascii="Arial" w:hAnsi="Arial" w:cs="Arial"/>
          <w:sz w:val="22"/>
          <w:szCs w:val="22"/>
          <w:lang/>
        </w:rPr>
        <w:t xml:space="preserve">impacto positivo, uma vez que </w:t>
      </w:r>
      <w:r w:rsidR="00732206" w:rsidRPr="00DA39E7">
        <w:rPr>
          <w:rFonts w:ascii="Arial" w:hAnsi="Arial" w:cs="Arial"/>
          <w:sz w:val="22"/>
          <w:szCs w:val="22"/>
          <w:lang/>
        </w:rPr>
        <w:t>suprem</w:t>
      </w:r>
      <w:r w:rsidRPr="00DA39E7">
        <w:rPr>
          <w:rFonts w:ascii="Arial" w:hAnsi="Arial" w:cs="Arial"/>
          <w:sz w:val="22"/>
          <w:szCs w:val="22"/>
          <w:lang/>
        </w:rPr>
        <w:t xml:space="preserve"> </w:t>
      </w:r>
      <w:r w:rsidR="00B4336B" w:rsidRPr="00DA39E7">
        <w:rPr>
          <w:rFonts w:ascii="Arial" w:hAnsi="Arial" w:cs="Arial"/>
          <w:sz w:val="22"/>
          <w:szCs w:val="22"/>
          <w:lang/>
        </w:rPr>
        <w:t xml:space="preserve">lacunas criadas pela dificuldade do governo de atuar em </w:t>
      </w:r>
      <w:r w:rsidRPr="00DA39E7">
        <w:rPr>
          <w:rFonts w:ascii="Arial" w:hAnsi="Arial" w:cs="Arial"/>
          <w:sz w:val="22"/>
          <w:szCs w:val="22"/>
          <w:lang/>
        </w:rPr>
        <w:t xml:space="preserve">determinados campos. </w:t>
      </w:r>
      <w:r w:rsidR="00B4336B" w:rsidRPr="00DA39E7">
        <w:rPr>
          <w:rFonts w:ascii="Arial" w:hAnsi="Arial" w:cs="Arial"/>
          <w:sz w:val="22"/>
          <w:szCs w:val="22"/>
          <w:lang/>
        </w:rPr>
        <w:t xml:space="preserve">Especialmente em relação a projetos de combate à exploração sexual, ao uso de entorpecentes e outros que envolvem jovens de baixa renda é fundamental a parceria com instituições </w:t>
      </w:r>
      <w:r w:rsidR="007077B8" w:rsidRPr="00DA39E7">
        <w:rPr>
          <w:rFonts w:ascii="Arial" w:hAnsi="Arial" w:cs="Arial"/>
          <w:sz w:val="22"/>
          <w:szCs w:val="22"/>
          <w:lang/>
        </w:rPr>
        <w:t>não governamentais</w:t>
      </w:r>
      <w:r w:rsidR="00B4336B" w:rsidRPr="00DA39E7">
        <w:rPr>
          <w:rFonts w:ascii="Arial" w:hAnsi="Arial" w:cs="Arial"/>
          <w:sz w:val="22"/>
          <w:szCs w:val="22"/>
          <w:lang/>
        </w:rPr>
        <w:t xml:space="preserve"> que têm capilaridade </w:t>
      </w:r>
      <w:r w:rsidR="007077B8" w:rsidRPr="00DA39E7">
        <w:rPr>
          <w:rFonts w:ascii="Arial" w:hAnsi="Arial" w:cs="Arial"/>
          <w:sz w:val="22"/>
          <w:szCs w:val="22"/>
          <w:lang/>
        </w:rPr>
        <w:t xml:space="preserve">e </w:t>
      </w:r>
      <w:r w:rsidR="00B4336B" w:rsidRPr="00DA39E7">
        <w:rPr>
          <w:rFonts w:ascii="Arial" w:hAnsi="Arial" w:cs="Arial"/>
          <w:sz w:val="22"/>
          <w:szCs w:val="22"/>
          <w:lang/>
        </w:rPr>
        <w:t xml:space="preserve"> </w:t>
      </w:r>
      <w:r w:rsidR="007077B8" w:rsidRPr="00DA39E7">
        <w:rPr>
          <w:rFonts w:ascii="Arial" w:hAnsi="Arial" w:cs="Arial"/>
          <w:sz w:val="22"/>
          <w:szCs w:val="22"/>
          <w:lang/>
        </w:rPr>
        <w:t>habilidade</w:t>
      </w:r>
      <w:r w:rsidR="00B4336B" w:rsidRPr="00DA39E7">
        <w:rPr>
          <w:rFonts w:ascii="Arial" w:hAnsi="Arial" w:cs="Arial"/>
          <w:sz w:val="22"/>
          <w:szCs w:val="22"/>
          <w:lang/>
        </w:rPr>
        <w:t xml:space="preserve"> necessária</w:t>
      </w:r>
      <w:r w:rsidR="009C731C" w:rsidRPr="00DA39E7">
        <w:rPr>
          <w:rFonts w:ascii="Arial" w:hAnsi="Arial" w:cs="Arial"/>
          <w:sz w:val="22"/>
          <w:szCs w:val="22"/>
          <w:lang/>
        </w:rPr>
        <w:t>s</w:t>
      </w:r>
      <w:r w:rsidR="007077B8" w:rsidRPr="00DA39E7">
        <w:rPr>
          <w:rFonts w:ascii="Arial" w:hAnsi="Arial" w:cs="Arial"/>
          <w:sz w:val="22"/>
          <w:szCs w:val="22"/>
          <w:lang/>
        </w:rPr>
        <w:t xml:space="preserve"> para promover e acompanhar a mudança de vida desses jovens. </w:t>
      </w:r>
    </w:p>
    <w:p w:rsidR="007077B8" w:rsidRDefault="009C731C" w:rsidP="00ED6DD3">
      <w:pPr>
        <w:spacing w:line="360" w:lineRule="auto"/>
        <w:ind w:firstLine="708"/>
        <w:jc w:val="both"/>
        <w:rPr>
          <w:rFonts w:ascii="Arial" w:hAnsi="Arial" w:cs="Arial"/>
          <w:color w:val="00B0F0"/>
          <w:sz w:val="22"/>
          <w:szCs w:val="22"/>
          <w:lang/>
        </w:rPr>
      </w:pPr>
      <w:r>
        <w:rPr>
          <w:rFonts w:ascii="Arial" w:hAnsi="Arial" w:cs="Arial"/>
          <w:sz w:val="22"/>
          <w:szCs w:val="22"/>
          <w:lang/>
        </w:rPr>
        <w:t xml:space="preserve">A análise dos projetos </w:t>
      </w:r>
      <w:r w:rsidR="007077B8" w:rsidRPr="008354D2">
        <w:rPr>
          <w:rFonts w:ascii="Arial" w:hAnsi="Arial" w:cs="Arial"/>
          <w:sz w:val="22"/>
          <w:szCs w:val="22"/>
          <w:lang/>
        </w:rPr>
        <w:t>traz à luz</w:t>
      </w:r>
      <w:r>
        <w:rPr>
          <w:rFonts w:ascii="Arial" w:hAnsi="Arial" w:cs="Arial"/>
          <w:sz w:val="22"/>
          <w:szCs w:val="22"/>
          <w:lang/>
        </w:rPr>
        <w:t>, ainda,</w:t>
      </w:r>
      <w:r w:rsidR="007077B8" w:rsidRPr="008354D2">
        <w:rPr>
          <w:rFonts w:ascii="Arial" w:hAnsi="Arial" w:cs="Arial"/>
          <w:sz w:val="22"/>
          <w:szCs w:val="22"/>
          <w:lang/>
        </w:rPr>
        <w:t xml:space="preserve"> a percepção de que o enfrentamento das redes de prostituição exigiam o trabalho também organizado em rede, no qual cada instituição pública e privada participa disponibilizando suas competências e </w:t>
      </w:r>
      <w:r w:rsidR="007077B8" w:rsidRPr="008354D2">
        <w:rPr>
          <w:rFonts w:ascii="Arial" w:hAnsi="Arial" w:cs="Arial"/>
          <w:i/>
          <w:sz w:val="22"/>
          <w:szCs w:val="22"/>
          <w:lang/>
        </w:rPr>
        <w:t>expertises</w:t>
      </w:r>
      <w:r w:rsidR="007077B8" w:rsidRPr="008354D2">
        <w:rPr>
          <w:rFonts w:ascii="Arial" w:hAnsi="Arial" w:cs="Arial"/>
          <w:sz w:val="22"/>
          <w:szCs w:val="22"/>
          <w:lang/>
        </w:rPr>
        <w:t>.</w:t>
      </w:r>
      <w:r w:rsidR="00ED6DD3">
        <w:rPr>
          <w:rFonts w:ascii="Arial" w:hAnsi="Arial" w:cs="Arial"/>
          <w:sz w:val="22"/>
          <w:szCs w:val="22"/>
          <w:lang/>
        </w:rPr>
        <w:t xml:space="preserve"> A articulação de uma rede de parceiros, no caso do ViraVida, é considerada pelos idealizadores do projeto como um dos aspectos mais importantes de sua metodologia, sem a qual não seriam obtidos os resultados esperados.  </w:t>
      </w:r>
    </w:p>
    <w:p w:rsidR="00E71420" w:rsidRDefault="008825C6" w:rsidP="008825C6">
      <w:pPr>
        <w:spacing w:line="360" w:lineRule="auto"/>
        <w:jc w:val="both"/>
        <w:rPr>
          <w:rFonts w:ascii="Arial" w:hAnsi="Arial" w:cs="Arial"/>
          <w:sz w:val="22"/>
          <w:szCs w:val="22"/>
          <w:lang/>
        </w:rPr>
      </w:pPr>
      <w:r w:rsidRPr="008354D2">
        <w:rPr>
          <w:rFonts w:ascii="Arial" w:hAnsi="Arial" w:cs="Arial"/>
          <w:sz w:val="22"/>
          <w:szCs w:val="22"/>
          <w:lang/>
        </w:rPr>
        <w:tab/>
      </w:r>
      <w:r w:rsidR="009C731C">
        <w:rPr>
          <w:rFonts w:ascii="Arial" w:hAnsi="Arial" w:cs="Arial"/>
          <w:sz w:val="22"/>
          <w:szCs w:val="22"/>
          <w:lang/>
        </w:rPr>
        <w:t>Para trabalhar com esse tema</w:t>
      </w:r>
      <w:r w:rsidR="00ED6DD3">
        <w:rPr>
          <w:rFonts w:ascii="Arial" w:hAnsi="Arial" w:cs="Arial"/>
          <w:sz w:val="22"/>
          <w:szCs w:val="22"/>
          <w:lang/>
        </w:rPr>
        <w:t>, foi necessário capacita</w:t>
      </w:r>
      <w:r w:rsidR="00E71420">
        <w:rPr>
          <w:rFonts w:ascii="Arial" w:hAnsi="Arial" w:cs="Arial"/>
          <w:sz w:val="22"/>
          <w:szCs w:val="22"/>
          <w:lang/>
        </w:rPr>
        <w:t xml:space="preserve">r profissionais </w:t>
      </w:r>
      <w:r w:rsidR="00ED6DD3">
        <w:rPr>
          <w:rFonts w:ascii="Arial" w:hAnsi="Arial" w:cs="Arial"/>
          <w:sz w:val="22"/>
          <w:szCs w:val="22"/>
          <w:lang/>
        </w:rPr>
        <w:t>d</w:t>
      </w:r>
      <w:r w:rsidR="00E71420">
        <w:rPr>
          <w:rFonts w:ascii="Arial" w:hAnsi="Arial" w:cs="Arial"/>
          <w:sz w:val="22"/>
          <w:szCs w:val="22"/>
          <w:lang/>
        </w:rPr>
        <w:t>e algumas d</w:t>
      </w:r>
      <w:r w:rsidR="00ED6DD3">
        <w:rPr>
          <w:rFonts w:ascii="Arial" w:hAnsi="Arial" w:cs="Arial"/>
          <w:sz w:val="22"/>
          <w:szCs w:val="22"/>
          <w:lang/>
        </w:rPr>
        <w:t>as instituições participantes</w:t>
      </w:r>
      <w:r w:rsidR="00E71420">
        <w:rPr>
          <w:rFonts w:ascii="Arial" w:hAnsi="Arial" w:cs="Arial"/>
          <w:sz w:val="22"/>
          <w:szCs w:val="22"/>
          <w:lang/>
        </w:rPr>
        <w:t xml:space="preserve">, para </w:t>
      </w:r>
      <w:r w:rsidR="00ED6DD3">
        <w:rPr>
          <w:rFonts w:ascii="Arial" w:hAnsi="Arial" w:cs="Arial"/>
          <w:sz w:val="22"/>
          <w:szCs w:val="22"/>
          <w:lang/>
        </w:rPr>
        <w:t xml:space="preserve">que </w:t>
      </w:r>
      <w:r w:rsidR="00E71420">
        <w:rPr>
          <w:rFonts w:ascii="Arial" w:hAnsi="Arial" w:cs="Arial"/>
          <w:sz w:val="22"/>
          <w:szCs w:val="22"/>
          <w:lang/>
        </w:rPr>
        <w:t xml:space="preserve">pudessem </w:t>
      </w:r>
      <w:r w:rsidR="009C731C">
        <w:rPr>
          <w:rFonts w:ascii="Arial" w:hAnsi="Arial" w:cs="Arial"/>
          <w:sz w:val="22"/>
          <w:szCs w:val="22"/>
          <w:lang/>
        </w:rPr>
        <w:t>co</w:t>
      </w:r>
      <w:r w:rsidR="00E71420">
        <w:rPr>
          <w:rFonts w:ascii="Arial" w:hAnsi="Arial" w:cs="Arial"/>
          <w:sz w:val="22"/>
          <w:szCs w:val="22"/>
          <w:lang/>
        </w:rPr>
        <w:t>mpreender</w:t>
      </w:r>
      <w:r w:rsidR="009C731C">
        <w:rPr>
          <w:rFonts w:ascii="Arial" w:hAnsi="Arial" w:cs="Arial"/>
          <w:sz w:val="22"/>
          <w:szCs w:val="22"/>
          <w:lang/>
        </w:rPr>
        <w:t xml:space="preserve"> o perfil do público-beneficiário. </w:t>
      </w:r>
      <w:r w:rsidR="00E71420">
        <w:rPr>
          <w:rFonts w:ascii="Arial" w:hAnsi="Arial" w:cs="Arial"/>
          <w:sz w:val="22"/>
          <w:szCs w:val="22"/>
          <w:lang/>
        </w:rPr>
        <w:t xml:space="preserve">Foram promovidas mudanças de padrões e de valores na cultura das instituições do Sistema S, que apresentavam preconceito em relação ao tema e ao público-alvo. Foi a partir da parceria com Universidades e ONGs que se deu esse processo.  </w:t>
      </w:r>
    </w:p>
    <w:p w:rsidR="008825C6" w:rsidRPr="008354D2" w:rsidRDefault="00E71420" w:rsidP="00E71420">
      <w:pPr>
        <w:spacing w:line="360" w:lineRule="auto"/>
        <w:ind w:firstLine="708"/>
        <w:jc w:val="both"/>
        <w:rPr>
          <w:rFonts w:ascii="Arial" w:hAnsi="Arial" w:cs="Arial"/>
          <w:sz w:val="22"/>
          <w:szCs w:val="22"/>
          <w:lang/>
        </w:rPr>
      </w:pPr>
      <w:r>
        <w:rPr>
          <w:rFonts w:ascii="Arial" w:hAnsi="Arial" w:cs="Arial"/>
          <w:sz w:val="22"/>
          <w:szCs w:val="22"/>
          <w:lang/>
        </w:rPr>
        <w:t>Assim puderam compreenderam que</w:t>
      </w:r>
      <w:r w:rsidR="008825C6" w:rsidRPr="008354D2">
        <w:rPr>
          <w:rFonts w:ascii="Arial" w:hAnsi="Arial" w:cs="Arial"/>
          <w:sz w:val="22"/>
          <w:szCs w:val="22"/>
          <w:lang/>
        </w:rPr>
        <w:t xml:space="preserve"> violência </w:t>
      </w:r>
      <w:r w:rsidR="009C731C">
        <w:rPr>
          <w:rFonts w:ascii="Arial" w:hAnsi="Arial" w:cs="Arial"/>
          <w:sz w:val="22"/>
          <w:szCs w:val="22"/>
          <w:lang/>
        </w:rPr>
        <w:t xml:space="preserve">doméstica, </w:t>
      </w:r>
      <w:r w:rsidR="008825C6" w:rsidRPr="008354D2">
        <w:rPr>
          <w:rFonts w:ascii="Arial" w:hAnsi="Arial" w:cs="Arial"/>
          <w:sz w:val="22"/>
          <w:szCs w:val="22"/>
          <w:lang/>
        </w:rPr>
        <w:t xml:space="preserve">maus tratos e abuso </w:t>
      </w:r>
      <w:r w:rsidR="009C731C">
        <w:rPr>
          <w:rFonts w:ascii="Arial" w:hAnsi="Arial" w:cs="Arial"/>
          <w:sz w:val="22"/>
          <w:szCs w:val="22"/>
          <w:lang/>
        </w:rPr>
        <w:t>são os</w:t>
      </w:r>
      <w:r w:rsidR="008825C6" w:rsidRPr="008354D2">
        <w:rPr>
          <w:rFonts w:ascii="Arial" w:hAnsi="Arial" w:cs="Arial"/>
          <w:sz w:val="22"/>
          <w:szCs w:val="22"/>
          <w:lang/>
        </w:rPr>
        <w:t xml:space="preserve"> fatores que leva</w:t>
      </w:r>
      <w:r>
        <w:rPr>
          <w:rFonts w:ascii="Arial" w:hAnsi="Arial" w:cs="Arial"/>
          <w:sz w:val="22"/>
          <w:szCs w:val="22"/>
          <w:lang/>
        </w:rPr>
        <w:t>m</w:t>
      </w:r>
      <w:r w:rsidR="008825C6" w:rsidRPr="008354D2">
        <w:rPr>
          <w:rFonts w:ascii="Arial" w:hAnsi="Arial" w:cs="Arial"/>
          <w:sz w:val="22"/>
          <w:szCs w:val="22"/>
          <w:lang/>
        </w:rPr>
        <w:t xml:space="preserve"> os jovens à exploração sexual.  </w:t>
      </w:r>
      <w:r>
        <w:rPr>
          <w:rFonts w:ascii="Arial" w:hAnsi="Arial" w:cs="Arial"/>
          <w:sz w:val="22"/>
          <w:szCs w:val="22"/>
          <w:lang/>
        </w:rPr>
        <w:t>E que a</w:t>
      </w:r>
      <w:r w:rsidR="009C731C">
        <w:rPr>
          <w:rFonts w:ascii="Arial" w:hAnsi="Arial" w:cs="Arial"/>
          <w:sz w:val="22"/>
          <w:szCs w:val="22"/>
          <w:lang/>
        </w:rPr>
        <w:t xml:space="preserve"> isso soma-se a sedução das ruas e </w:t>
      </w:r>
      <w:r w:rsidR="008825C6" w:rsidRPr="008354D2">
        <w:rPr>
          <w:rFonts w:ascii="Arial" w:hAnsi="Arial" w:cs="Arial"/>
          <w:sz w:val="22"/>
          <w:szCs w:val="22"/>
          <w:lang/>
        </w:rPr>
        <w:t>a facilidade de obtenção de recursos</w:t>
      </w:r>
      <w:r w:rsidR="009C731C">
        <w:rPr>
          <w:rFonts w:ascii="Arial" w:hAnsi="Arial" w:cs="Arial"/>
          <w:sz w:val="22"/>
          <w:szCs w:val="22"/>
          <w:lang/>
        </w:rPr>
        <w:t xml:space="preserve"> financeiros.</w:t>
      </w:r>
      <w:r w:rsidR="008825C6" w:rsidRPr="008354D2">
        <w:rPr>
          <w:rFonts w:ascii="Arial" w:hAnsi="Arial" w:cs="Arial"/>
          <w:sz w:val="22"/>
          <w:szCs w:val="22"/>
          <w:lang/>
        </w:rPr>
        <w:t xml:space="preserve"> </w:t>
      </w:r>
      <w:r>
        <w:rPr>
          <w:rFonts w:ascii="Arial" w:hAnsi="Arial" w:cs="Arial"/>
          <w:sz w:val="22"/>
          <w:szCs w:val="22"/>
          <w:lang/>
        </w:rPr>
        <w:t>D</w:t>
      </w:r>
      <w:r w:rsidR="009C731C">
        <w:rPr>
          <w:rFonts w:ascii="Arial" w:hAnsi="Arial" w:cs="Arial"/>
          <w:sz w:val="22"/>
          <w:szCs w:val="22"/>
          <w:lang/>
        </w:rPr>
        <w:t>iante da</w:t>
      </w:r>
      <w:r w:rsidR="009C731C" w:rsidRPr="008354D2">
        <w:rPr>
          <w:rFonts w:ascii="Arial" w:hAnsi="Arial" w:cs="Arial"/>
          <w:sz w:val="22"/>
          <w:szCs w:val="22"/>
          <w:lang/>
        </w:rPr>
        <w:t xml:space="preserve"> baixa escolaridade</w:t>
      </w:r>
      <w:r w:rsidR="009C731C">
        <w:rPr>
          <w:rFonts w:ascii="Arial" w:hAnsi="Arial" w:cs="Arial"/>
          <w:sz w:val="22"/>
          <w:szCs w:val="22"/>
          <w:lang/>
        </w:rPr>
        <w:t>,</w:t>
      </w:r>
      <w:r w:rsidR="009C731C" w:rsidRPr="008354D2">
        <w:rPr>
          <w:rFonts w:ascii="Arial" w:hAnsi="Arial" w:cs="Arial"/>
          <w:sz w:val="22"/>
          <w:szCs w:val="22"/>
          <w:lang/>
        </w:rPr>
        <w:t xml:space="preserve"> </w:t>
      </w:r>
      <w:r w:rsidR="009C731C">
        <w:rPr>
          <w:rFonts w:ascii="Arial" w:hAnsi="Arial" w:cs="Arial"/>
          <w:sz w:val="22"/>
          <w:szCs w:val="22"/>
          <w:lang/>
        </w:rPr>
        <w:t>d</w:t>
      </w:r>
      <w:r w:rsidR="009C731C" w:rsidRPr="008354D2">
        <w:rPr>
          <w:rFonts w:ascii="Arial" w:hAnsi="Arial" w:cs="Arial"/>
          <w:sz w:val="22"/>
          <w:szCs w:val="22"/>
          <w:lang/>
        </w:rPr>
        <w:t>a fragilidade dos vínculos familiares</w:t>
      </w:r>
      <w:r w:rsidR="009C731C">
        <w:rPr>
          <w:rFonts w:ascii="Arial" w:hAnsi="Arial" w:cs="Arial"/>
          <w:sz w:val="22"/>
          <w:szCs w:val="22"/>
          <w:lang/>
        </w:rPr>
        <w:t xml:space="preserve"> e da dificuldade financeira t</w:t>
      </w:r>
      <w:r w:rsidR="008825C6" w:rsidRPr="008354D2">
        <w:rPr>
          <w:rFonts w:ascii="Arial" w:hAnsi="Arial" w:cs="Arial"/>
          <w:sz w:val="22"/>
          <w:szCs w:val="22"/>
          <w:lang/>
        </w:rPr>
        <w:t xml:space="preserve">orna-se difícil desvencilhar-se das redes de exploração, pornografia e tráfico de entorpecentes, </w:t>
      </w:r>
      <w:r w:rsidR="00A31BCF">
        <w:rPr>
          <w:rFonts w:ascii="Arial" w:hAnsi="Arial" w:cs="Arial"/>
          <w:sz w:val="22"/>
          <w:szCs w:val="22"/>
          <w:lang/>
        </w:rPr>
        <w:t xml:space="preserve">que lhes garantem a </w:t>
      </w:r>
      <w:r w:rsidR="008825C6" w:rsidRPr="008354D2">
        <w:rPr>
          <w:rFonts w:ascii="Arial" w:hAnsi="Arial" w:cs="Arial"/>
          <w:sz w:val="22"/>
          <w:szCs w:val="22"/>
          <w:lang/>
        </w:rPr>
        <w:t xml:space="preserve"> sobrevivência. </w:t>
      </w:r>
    </w:p>
    <w:p w:rsidR="008825C6" w:rsidRPr="008A110B" w:rsidRDefault="008825C6" w:rsidP="008A110B">
      <w:pPr>
        <w:tabs>
          <w:tab w:val="num" w:pos="0"/>
          <w:tab w:val="left" w:pos="785"/>
          <w:tab w:val="left" w:pos="810"/>
        </w:tabs>
        <w:spacing w:line="360" w:lineRule="auto"/>
        <w:ind w:firstLine="709"/>
        <w:jc w:val="both"/>
        <w:rPr>
          <w:rFonts w:ascii="Arial" w:hAnsi="Arial" w:cs="Arial"/>
          <w:b/>
          <w:sz w:val="22"/>
          <w:szCs w:val="22"/>
        </w:rPr>
      </w:pPr>
      <w:r w:rsidRPr="00DA39E7">
        <w:rPr>
          <w:rFonts w:ascii="Arial" w:hAnsi="Arial" w:cs="Arial"/>
          <w:sz w:val="22"/>
          <w:szCs w:val="22"/>
          <w:lang/>
        </w:rPr>
        <w:t>Os projetos</w:t>
      </w:r>
      <w:r w:rsidR="002518CC">
        <w:rPr>
          <w:rFonts w:ascii="Arial" w:hAnsi="Arial" w:cs="Arial"/>
          <w:sz w:val="22"/>
          <w:szCs w:val="22"/>
          <w:lang/>
        </w:rPr>
        <w:t xml:space="preserve"> estudados –</w:t>
      </w:r>
      <w:r w:rsidRPr="00DA39E7">
        <w:rPr>
          <w:rFonts w:ascii="Arial" w:hAnsi="Arial" w:cs="Arial"/>
          <w:sz w:val="22"/>
          <w:szCs w:val="22"/>
          <w:lang/>
        </w:rPr>
        <w:t xml:space="preserve">  ViraVida e Turismo Sustentável e Infância – </w:t>
      </w:r>
      <w:r w:rsidR="00A31BCF" w:rsidRPr="00DA39E7">
        <w:rPr>
          <w:rFonts w:ascii="Arial" w:hAnsi="Arial" w:cs="Arial"/>
          <w:sz w:val="22"/>
          <w:szCs w:val="22"/>
          <w:lang/>
        </w:rPr>
        <w:t xml:space="preserve">têm sua eficácia garantida ao promover </w:t>
      </w:r>
      <w:r w:rsidRPr="00DA39E7">
        <w:rPr>
          <w:rFonts w:ascii="Arial" w:hAnsi="Arial" w:cs="Arial"/>
          <w:sz w:val="22"/>
          <w:szCs w:val="22"/>
          <w:lang/>
        </w:rPr>
        <w:t>o caminho inverso: combater a</w:t>
      </w:r>
      <w:r w:rsidR="00DA39E7">
        <w:rPr>
          <w:rFonts w:ascii="Arial" w:hAnsi="Arial" w:cs="Arial"/>
          <w:sz w:val="22"/>
          <w:szCs w:val="22"/>
          <w:lang/>
        </w:rPr>
        <w:t>s</w:t>
      </w:r>
      <w:r w:rsidRPr="00DA39E7">
        <w:rPr>
          <w:rFonts w:ascii="Arial" w:hAnsi="Arial" w:cs="Arial"/>
          <w:sz w:val="22"/>
          <w:szCs w:val="22"/>
          <w:lang/>
        </w:rPr>
        <w:t xml:space="preserve"> causa</w:t>
      </w:r>
      <w:r w:rsidR="00DA39E7">
        <w:rPr>
          <w:rFonts w:ascii="Arial" w:hAnsi="Arial" w:cs="Arial"/>
          <w:sz w:val="22"/>
          <w:szCs w:val="22"/>
          <w:lang/>
        </w:rPr>
        <w:t>s</w:t>
      </w:r>
      <w:r w:rsidRPr="00DA39E7">
        <w:rPr>
          <w:rFonts w:ascii="Arial" w:hAnsi="Arial" w:cs="Arial"/>
          <w:sz w:val="22"/>
          <w:szCs w:val="22"/>
          <w:lang/>
        </w:rPr>
        <w:t xml:space="preserve"> do problema, atrelada de forma geral à situaç</w:t>
      </w:r>
      <w:r w:rsidR="00DA39E7">
        <w:rPr>
          <w:rFonts w:ascii="Arial" w:hAnsi="Arial" w:cs="Arial"/>
          <w:sz w:val="22"/>
          <w:szCs w:val="22"/>
          <w:lang/>
        </w:rPr>
        <w:t>ão</w:t>
      </w:r>
      <w:r w:rsidRPr="00DA39E7">
        <w:rPr>
          <w:rFonts w:ascii="Arial" w:hAnsi="Arial" w:cs="Arial"/>
          <w:sz w:val="22"/>
          <w:szCs w:val="22"/>
          <w:lang/>
        </w:rPr>
        <w:t xml:space="preserve"> de pobreza.</w:t>
      </w:r>
      <w:r w:rsidR="00DA39E7">
        <w:rPr>
          <w:rFonts w:ascii="Arial" w:hAnsi="Arial" w:cs="Arial"/>
          <w:sz w:val="22"/>
          <w:szCs w:val="22"/>
          <w:lang/>
        </w:rPr>
        <w:t xml:space="preserve"> </w:t>
      </w:r>
      <w:r w:rsidR="002518CC">
        <w:rPr>
          <w:rFonts w:ascii="Arial" w:hAnsi="Arial" w:cs="Arial"/>
          <w:sz w:val="22"/>
          <w:szCs w:val="22"/>
          <w:lang/>
        </w:rPr>
        <w:t xml:space="preserve">As bolsas de estudo foram planejadas como </w:t>
      </w:r>
      <w:r w:rsidR="002518CC">
        <w:rPr>
          <w:rFonts w:ascii="Arial" w:hAnsi="Arial" w:cs="Arial"/>
          <w:sz w:val="22"/>
          <w:szCs w:val="22"/>
          <w:lang/>
        </w:rPr>
        <w:lastRenderedPageBreak/>
        <w:t>instrumento para</w:t>
      </w:r>
      <w:r w:rsidR="002518CC" w:rsidRPr="002518CC">
        <w:rPr>
          <w:rFonts w:ascii="Arial" w:hAnsi="Arial" w:cs="Arial"/>
          <w:sz w:val="22"/>
          <w:szCs w:val="22"/>
        </w:rPr>
        <w:t xml:space="preserve"> afastá-los da </w:t>
      </w:r>
      <w:r w:rsidR="002518CC">
        <w:rPr>
          <w:rFonts w:ascii="Arial" w:hAnsi="Arial" w:cs="Arial"/>
          <w:sz w:val="22"/>
          <w:szCs w:val="22"/>
        </w:rPr>
        <w:t>exploração</w:t>
      </w:r>
      <w:r w:rsidR="002518CC" w:rsidRPr="002518CC">
        <w:rPr>
          <w:rFonts w:ascii="Arial" w:hAnsi="Arial" w:cs="Arial"/>
          <w:sz w:val="22"/>
          <w:szCs w:val="22"/>
        </w:rPr>
        <w:t xml:space="preserve"> sexual, </w:t>
      </w:r>
      <w:r w:rsidR="002518CC">
        <w:rPr>
          <w:rFonts w:ascii="Arial" w:hAnsi="Arial" w:cs="Arial"/>
          <w:sz w:val="22"/>
          <w:szCs w:val="22"/>
        </w:rPr>
        <w:t>e para</w:t>
      </w:r>
      <w:r w:rsidR="002518CC" w:rsidRPr="002518CC">
        <w:rPr>
          <w:rFonts w:ascii="Arial" w:hAnsi="Arial" w:cs="Arial"/>
          <w:sz w:val="22"/>
          <w:szCs w:val="22"/>
        </w:rPr>
        <w:t xml:space="preserve"> evitar </w:t>
      </w:r>
      <w:r w:rsidR="002518CC">
        <w:rPr>
          <w:rFonts w:ascii="Arial" w:hAnsi="Arial" w:cs="Arial"/>
          <w:sz w:val="22"/>
          <w:szCs w:val="22"/>
        </w:rPr>
        <w:t>sua revitimização.</w:t>
      </w:r>
      <w:r w:rsidR="002518CC" w:rsidRPr="002518CC">
        <w:rPr>
          <w:rFonts w:ascii="Arial" w:hAnsi="Arial" w:cs="Arial"/>
          <w:sz w:val="22"/>
          <w:szCs w:val="22"/>
        </w:rPr>
        <w:t xml:space="preserve"> </w:t>
      </w:r>
      <w:r w:rsidR="002518CC" w:rsidRPr="002518CC">
        <w:rPr>
          <w:rFonts w:ascii="Arial" w:hAnsi="Arial" w:cs="Arial"/>
          <w:color w:val="000000"/>
          <w:sz w:val="22"/>
          <w:szCs w:val="22"/>
        </w:rPr>
        <w:t>As regras de convivência</w:t>
      </w:r>
      <w:r w:rsidR="00F06E8D">
        <w:rPr>
          <w:rFonts w:ascii="Arial" w:hAnsi="Arial" w:cs="Arial"/>
          <w:color w:val="000000"/>
          <w:sz w:val="22"/>
          <w:szCs w:val="22"/>
        </w:rPr>
        <w:t xml:space="preserve"> e de recebimento do auxílio foram</w:t>
      </w:r>
      <w:r w:rsidR="002518CC" w:rsidRPr="002518CC">
        <w:rPr>
          <w:rFonts w:ascii="Arial" w:hAnsi="Arial" w:cs="Arial"/>
          <w:color w:val="000000"/>
          <w:sz w:val="22"/>
          <w:szCs w:val="22"/>
        </w:rPr>
        <w:t xml:space="preserve"> construídas com os próprios alunos, com a finalidade de harmonizar as relações no espaço escolar. Nelas estão regulados os direitos, deve</w:t>
      </w:r>
      <w:r w:rsidR="00F06E8D">
        <w:rPr>
          <w:rFonts w:ascii="Arial" w:hAnsi="Arial" w:cs="Arial"/>
          <w:color w:val="000000"/>
          <w:sz w:val="22"/>
          <w:szCs w:val="22"/>
        </w:rPr>
        <w:t>res e as penalidades que permitem</w:t>
      </w:r>
      <w:r w:rsidR="002518CC" w:rsidRPr="002518CC">
        <w:rPr>
          <w:rFonts w:ascii="Arial" w:hAnsi="Arial" w:cs="Arial"/>
          <w:color w:val="000000"/>
          <w:sz w:val="22"/>
          <w:szCs w:val="22"/>
        </w:rPr>
        <w:t xml:space="preserve"> fortalecer a interação e a integração sócio-educativa. </w:t>
      </w:r>
      <w:r w:rsidR="002518CC">
        <w:rPr>
          <w:rFonts w:ascii="Arial" w:hAnsi="Arial" w:cs="Arial"/>
          <w:color w:val="000000"/>
          <w:sz w:val="22"/>
          <w:szCs w:val="22"/>
        </w:rPr>
        <w:t xml:space="preserve">O atendimento psicológico e o comprometimento de pais e responsáveis </w:t>
      </w:r>
      <w:r w:rsidR="00F06E8D">
        <w:rPr>
          <w:rFonts w:ascii="Arial" w:hAnsi="Arial" w:cs="Arial"/>
          <w:color w:val="000000"/>
          <w:sz w:val="22"/>
          <w:szCs w:val="22"/>
        </w:rPr>
        <w:t>são também</w:t>
      </w:r>
      <w:r w:rsidR="002518CC">
        <w:rPr>
          <w:rFonts w:ascii="Arial" w:hAnsi="Arial" w:cs="Arial"/>
          <w:color w:val="000000"/>
          <w:sz w:val="22"/>
          <w:szCs w:val="22"/>
        </w:rPr>
        <w:t xml:space="preserve"> mecanismo</w:t>
      </w:r>
      <w:r w:rsidR="00F06E8D">
        <w:rPr>
          <w:rFonts w:ascii="Arial" w:hAnsi="Arial" w:cs="Arial"/>
          <w:color w:val="000000"/>
          <w:sz w:val="22"/>
          <w:szCs w:val="22"/>
        </w:rPr>
        <w:t>s</w:t>
      </w:r>
      <w:r w:rsidR="002518CC">
        <w:rPr>
          <w:rFonts w:ascii="Arial" w:hAnsi="Arial" w:cs="Arial"/>
          <w:color w:val="000000"/>
          <w:sz w:val="22"/>
          <w:szCs w:val="22"/>
        </w:rPr>
        <w:t xml:space="preserve"> de combate à raiz do problema</w:t>
      </w:r>
      <w:r w:rsidR="00F06E8D">
        <w:rPr>
          <w:rFonts w:ascii="Arial" w:hAnsi="Arial" w:cs="Arial"/>
          <w:color w:val="000000"/>
          <w:sz w:val="22"/>
          <w:szCs w:val="22"/>
        </w:rPr>
        <w:t xml:space="preserve"> e podem ser considerados, conforme o Plano Nacional de Enfrentamento da Violência Sexual </w:t>
      </w:r>
      <w:r w:rsidR="00A85E06">
        <w:rPr>
          <w:rFonts w:ascii="Arial" w:hAnsi="Arial" w:cs="Arial"/>
          <w:color w:val="000000"/>
          <w:sz w:val="22"/>
          <w:szCs w:val="22"/>
        </w:rPr>
        <w:t>Infantojuvenil</w:t>
      </w:r>
      <w:r w:rsidR="00F06E8D">
        <w:rPr>
          <w:rFonts w:ascii="Arial" w:hAnsi="Arial" w:cs="Arial"/>
          <w:color w:val="000000"/>
          <w:sz w:val="22"/>
          <w:szCs w:val="22"/>
        </w:rPr>
        <w:t>, como estratégia de prevenção</w:t>
      </w:r>
      <w:r w:rsidR="002518CC">
        <w:rPr>
          <w:rFonts w:ascii="Arial" w:hAnsi="Arial" w:cs="Arial"/>
          <w:color w:val="000000"/>
          <w:sz w:val="22"/>
          <w:szCs w:val="22"/>
        </w:rPr>
        <w:t>.</w:t>
      </w:r>
      <w:r w:rsidR="008A110B">
        <w:rPr>
          <w:rFonts w:ascii="Arial" w:hAnsi="Arial" w:cs="Arial"/>
          <w:b/>
          <w:sz w:val="22"/>
          <w:szCs w:val="22"/>
        </w:rPr>
        <w:t xml:space="preserve"> </w:t>
      </w:r>
      <w:r w:rsidR="002518CC">
        <w:rPr>
          <w:rFonts w:ascii="Arial" w:hAnsi="Arial" w:cs="Arial"/>
          <w:sz w:val="22"/>
          <w:szCs w:val="22"/>
          <w:lang/>
        </w:rPr>
        <w:t>Além disso</w:t>
      </w:r>
      <w:r w:rsidRPr="00DA39E7">
        <w:rPr>
          <w:rFonts w:ascii="Arial" w:hAnsi="Arial" w:cs="Arial"/>
          <w:sz w:val="22"/>
          <w:szCs w:val="22"/>
          <w:lang/>
        </w:rPr>
        <w:t>, ambos</w:t>
      </w:r>
      <w:r w:rsidR="002518CC">
        <w:rPr>
          <w:rFonts w:ascii="Arial" w:hAnsi="Arial" w:cs="Arial"/>
          <w:sz w:val="22"/>
          <w:szCs w:val="22"/>
          <w:lang/>
        </w:rPr>
        <w:t xml:space="preserve"> os projeto</w:t>
      </w:r>
      <w:r w:rsidR="00ED6DD3">
        <w:rPr>
          <w:rFonts w:ascii="Arial" w:hAnsi="Arial" w:cs="Arial"/>
          <w:sz w:val="22"/>
          <w:szCs w:val="22"/>
          <w:lang/>
        </w:rPr>
        <w:t>s</w:t>
      </w:r>
      <w:r w:rsidRPr="00DA39E7">
        <w:rPr>
          <w:rFonts w:ascii="Arial" w:hAnsi="Arial" w:cs="Arial"/>
          <w:sz w:val="22"/>
          <w:szCs w:val="22"/>
          <w:lang/>
        </w:rPr>
        <w:t xml:space="preserve"> buscam </w:t>
      </w:r>
      <w:r w:rsidR="008A110B">
        <w:rPr>
          <w:rFonts w:ascii="Arial" w:hAnsi="Arial" w:cs="Arial"/>
          <w:sz w:val="22"/>
          <w:szCs w:val="22"/>
          <w:lang/>
        </w:rPr>
        <w:t>elevação de renda e qualidade de vida</w:t>
      </w:r>
      <w:r w:rsidRPr="00DA39E7">
        <w:rPr>
          <w:rFonts w:ascii="Arial" w:hAnsi="Arial" w:cs="Arial"/>
          <w:sz w:val="22"/>
          <w:szCs w:val="22"/>
          <w:lang/>
        </w:rPr>
        <w:t xml:space="preserve"> </w:t>
      </w:r>
      <w:r w:rsidR="008A110B">
        <w:rPr>
          <w:rFonts w:ascii="Arial" w:hAnsi="Arial" w:cs="Arial"/>
          <w:sz w:val="22"/>
          <w:szCs w:val="22"/>
          <w:lang/>
        </w:rPr>
        <w:t xml:space="preserve">por meio </w:t>
      </w:r>
      <w:r w:rsidRPr="00DA39E7">
        <w:rPr>
          <w:rFonts w:ascii="Arial" w:hAnsi="Arial" w:cs="Arial"/>
          <w:sz w:val="22"/>
          <w:szCs w:val="22"/>
          <w:lang/>
        </w:rPr>
        <w:t>de qualificação profissional e emprego</w:t>
      </w:r>
      <w:r w:rsidR="00ED6DD3">
        <w:rPr>
          <w:rFonts w:ascii="Arial" w:hAnsi="Arial" w:cs="Arial"/>
          <w:sz w:val="22"/>
          <w:szCs w:val="22"/>
          <w:lang/>
        </w:rPr>
        <w:t>. Neste ponto fica mais evidente a necessidade da participação de empresários como parceiros.</w:t>
      </w:r>
    </w:p>
    <w:p w:rsidR="008825C6" w:rsidRPr="008354D2" w:rsidRDefault="008825C6" w:rsidP="008825C6">
      <w:pPr>
        <w:spacing w:line="360" w:lineRule="auto"/>
        <w:ind w:firstLine="720"/>
        <w:jc w:val="both"/>
        <w:rPr>
          <w:rFonts w:ascii="Arial" w:hAnsi="Arial" w:cs="Arial"/>
          <w:sz w:val="22"/>
          <w:szCs w:val="22"/>
          <w:lang/>
        </w:rPr>
      </w:pPr>
      <w:r w:rsidRPr="008354D2">
        <w:rPr>
          <w:rFonts w:ascii="Arial" w:hAnsi="Arial" w:cs="Arial"/>
          <w:sz w:val="22"/>
          <w:szCs w:val="22"/>
          <w:lang/>
        </w:rPr>
        <w:t xml:space="preserve">Vale destacar </w:t>
      </w:r>
      <w:r w:rsidR="00A85E06">
        <w:rPr>
          <w:rFonts w:ascii="Arial" w:hAnsi="Arial" w:cs="Arial"/>
          <w:sz w:val="22"/>
          <w:szCs w:val="22"/>
          <w:lang/>
        </w:rPr>
        <w:t>que este conjunto de mecanismos assegurados pelas parcerias garante a permanência dos alunos</w:t>
      </w:r>
      <w:r w:rsidRPr="008354D2">
        <w:rPr>
          <w:rFonts w:ascii="Arial" w:hAnsi="Arial" w:cs="Arial"/>
          <w:sz w:val="22"/>
          <w:szCs w:val="22"/>
          <w:lang/>
        </w:rPr>
        <w:t xml:space="preserve">, </w:t>
      </w:r>
      <w:r w:rsidR="00A85E06">
        <w:rPr>
          <w:rFonts w:ascii="Arial" w:hAnsi="Arial" w:cs="Arial"/>
          <w:sz w:val="22"/>
          <w:szCs w:val="22"/>
          <w:lang/>
        </w:rPr>
        <w:t>o que se confirma pelo b</w:t>
      </w:r>
      <w:r w:rsidRPr="008354D2">
        <w:rPr>
          <w:rFonts w:ascii="Arial" w:hAnsi="Arial" w:cs="Arial"/>
          <w:sz w:val="22"/>
          <w:szCs w:val="22"/>
          <w:lang/>
        </w:rPr>
        <w:t xml:space="preserve">aixo nível de evasão, indicando que os jovens percebem nos cursos a possibilidade de mudança no rumo de suas vidas. </w:t>
      </w:r>
      <w:r w:rsidR="00E23CAB">
        <w:rPr>
          <w:rFonts w:ascii="Arial" w:hAnsi="Arial" w:cs="Arial"/>
          <w:sz w:val="22"/>
          <w:szCs w:val="22"/>
          <w:lang/>
        </w:rPr>
        <w:t>A partir de estágios e de programas como Jovem Aprendiz, criado pelo governo, os empresários percebem que</w:t>
      </w:r>
      <w:r w:rsidRPr="008354D2">
        <w:rPr>
          <w:rFonts w:ascii="Arial" w:hAnsi="Arial" w:cs="Arial"/>
          <w:sz w:val="22"/>
          <w:szCs w:val="22"/>
          <w:lang/>
        </w:rPr>
        <w:t xml:space="preserve"> estes jovens demonstram mais empenho e garra na superação das limitações e obstáculos quando lhes é oferecida uma oportunidade de desenvolvimento pessoal.</w:t>
      </w:r>
    </w:p>
    <w:p w:rsidR="008825C6" w:rsidRPr="008354D2" w:rsidRDefault="008825C6" w:rsidP="008825C6">
      <w:pPr>
        <w:spacing w:line="360" w:lineRule="auto"/>
        <w:ind w:firstLine="720"/>
        <w:jc w:val="both"/>
        <w:rPr>
          <w:rFonts w:ascii="Arial" w:hAnsi="Arial" w:cs="Arial"/>
          <w:sz w:val="22"/>
          <w:szCs w:val="22"/>
          <w:lang/>
        </w:rPr>
      </w:pPr>
      <w:r w:rsidRPr="008354D2">
        <w:rPr>
          <w:rFonts w:ascii="Arial" w:hAnsi="Arial" w:cs="Arial"/>
          <w:sz w:val="22"/>
          <w:szCs w:val="22"/>
          <w:lang/>
        </w:rPr>
        <w:t>É fato que ainda representa grande desafio para os governos, para a iniciativa privada e para a sociedade em geral a inserção econômica e social das populações vulneráveis, mesmo após as mudanças culturais e legais ocorridas nas últimas décadas. Verifica-se cada vez mais que os meios para viabilizar essa inserção ainda são difíceis de implementar, pois a concentração de recursos e do poder de decisão prossegue moldando as estruturas e diretrizes de empresas públicas e privadas.</w:t>
      </w:r>
    </w:p>
    <w:p w:rsidR="008825C6" w:rsidRPr="008354D2" w:rsidRDefault="008825C6" w:rsidP="00E23CAB">
      <w:pPr>
        <w:spacing w:line="360" w:lineRule="auto"/>
        <w:ind w:firstLine="567"/>
        <w:jc w:val="both"/>
        <w:rPr>
          <w:rFonts w:ascii="Arial" w:hAnsi="Arial" w:cs="Arial"/>
          <w:sz w:val="22"/>
          <w:szCs w:val="22"/>
          <w:lang/>
        </w:rPr>
      </w:pPr>
      <w:r w:rsidRPr="008354D2">
        <w:rPr>
          <w:rFonts w:ascii="Arial" w:hAnsi="Arial" w:cs="Arial"/>
          <w:sz w:val="22"/>
          <w:szCs w:val="22"/>
          <w:lang/>
        </w:rPr>
        <w:t xml:space="preserve"> </w:t>
      </w:r>
      <w:r w:rsidR="00E23CAB">
        <w:rPr>
          <w:rFonts w:ascii="Arial" w:hAnsi="Arial" w:cs="Arial"/>
          <w:sz w:val="22"/>
          <w:szCs w:val="22"/>
          <w:lang/>
        </w:rPr>
        <w:t>N</w:t>
      </w:r>
      <w:r w:rsidRPr="008354D2">
        <w:rPr>
          <w:rFonts w:ascii="Arial" w:hAnsi="Arial" w:cs="Arial"/>
          <w:sz w:val="22"/>
          <w:szCs w:val="22"/>
          <w:lang/>
        </w:rPr>
        <w:t xml:space="preserve">os países em desenvolvimento </w:t>
      </w:r>
      <w:r w:rsidR="00E23CAB">
        <w:rPr>
          <w:rFonts w:ascii="Arial" w:hAnsi="Arial" w:cs="Arial"/>
          <w:sz w:val="22"/>
          <w:szCs w:val="22"/>
          <w:lang/>
        </w:rPr>
        <w:t>grande parte d</w:t>
      </w:r>
      <w:r w:rsidRPr="008354D2">
        <w:rPr>
          <w:rFonts w:ascii="Arial" w:hAnsi="Arial" w:cs="Arial"/>
          <w:sz w:val="22"/>
          <w:szCs w:val="22"/>
          <w:lang/>
        </w:rPr>
        <w:t>as instituições ainda se caracteriza pela burocracia</w:t>
      </w:r>
      <w:r w:rsidR="00E23CAB">
        <w:rPr>
          <w:rFonts w:ascii="Arial" w:hAnsi="Arial" w:cs="Arial"/>
          <w:sz w:val="22"/>
          <w:szCs w:val="22"/>
          <w:lang/>
        </w:rPr>
        <w:t>. S</w:t>
      </w:r>
      <w:r w:rsidR="00E23CAB" w:rsidRPr="008354D2">
        <w:rPr>
          <w:rFonts w:ascii="Arial" w:hAnsi="Arial" w:cs="Arial"/>
          <w:sz w:val="22"/>
          <w:szCs w:val="22"/>
          <w:lang/>
        </w:rPr>
        <w:t xml:space="preserve">egundo </w:t>
      </w:r>
      <w:r w:rsidR="00E23CAB">
        <w:rPr>
          <w:rFonts w:ascii="Arial" w:hAnsi="Arial" w:cs="Arial"/>
          <w:sz w:val="22"/>
          <w:szCs w:val="22"/>
          <w:lang/>
        </w:rPr>
        <w:t>relatório do</w:t>
      </w:r>
      <w:r w:rsidR="00E23CAB" w:rsidRPr="008354D2">
        <w:rPr>
          <w:rFonts w:ascii="Arial" w:hAnsi="Arial" w:cs="Arial"/>
          <w:sz w:val="22"/>
          <w:szCs w:val="22"/>
          <w:lang/>
        </w:rPr>
        <w:t xml:space="preserve"> Programa das Nações Unidas para o Desenvolvimento </w:t>
      </w:r>
      <w:r w:rsidR="00E23CAB">
        <w:rPr>
          <w:rFonts w:ascii="Arial" w:hAnsi="Arial" w:cs="Arial"/>
          <w:sz w:val="22"/>
          <w:szCs w:val="22"/>
          <w:lang/>
        </w:rPr>
        <w:t>–</w:t>
      </w:r>
      <w:r w:rsidR="00E23CAB" w:rsidRPr="008354D2">
        <w:rPr>
          <w:rFonts w:ascii="Arial" w:hAnsi="Arial" w:cs="Arial"/>
          <w:sz w:val="22"/>
          <w:szCs w:val="22"/>
          <w:lang/>
        </w:rPr>
        <w:t xml:space="preserve"> PNUD</w:t>
      </w:r>
      <w:r w:rsidR="00E23CAB">
        <w:rPr>
          <w:rFonts w:ascii="Arial" w:hAnsi="Arial" w:cs="Arial"/>
          <w:sz w:val="22"/>
          <w:szCs w:val="22"/>
          <w:lang/>
        </w:rPr>
        <w:t>, a</w:t>
      </w:r>
      <w:r w:rsidR="00E23CAB" w:rsidRPr="008354D2">
        <w:rPr>
          <w:rFonts w:ascii="Arial" w:hAnsi="Arial" w:cs="Arial"/>
          <w:sz w:val="22"/>
          <w:szCs w:val="22"/>
          <w:lang/>
        </w:rPr>
        <w:t xml:space="preserve"> </w:t>
      </w:r>
      <w:r w:rsidRPr="008354D2">
        <w:rPr>
          <w:rFonts w:ascii="Arial" w:hAnsi="Arial" w:cs="Arial"/>
          <w:sz w:val="22"/>
          <w:szCs w:val="22"/>
          <w:lang/>
        </w:rPr>
        <w:t xml:space="preserve">falta de transparência nas relações e outras heranças do autoritarismo </w:t>
      </w:r>
      <w:r w:rsidR="00E23CAB">
        <w:rPr>
          <w:rFonts w:ascii="Arial" w:hAnsi="Arial" w:cs="Arial"/>
          <w:sz w:val="22"/>
          <w:szCs w:val="22"/>
          <w:lang/>
        </w:rPr>
        <w:t xml:space="preserve">explicam porque essas instituições </w:t>
      </w:r>
      <w:r w:rsidRPr="008354D2">
        <w:rPr>
          <w:rFonts w:ascii="Arial" w:hAnsi="Arial" w:cs="Arial"/>
          <w:sz w:val="22"/>
          <w:szCs w:val="22"/>
          <w:lang/>
        </w:rPr>
        <w:t xml:space="preserve">nem sempre se movem em direção às camadas excluídas. </w:t>
      </w:r>
    </w:p>
    <w:p w:rsidR="008825C6" w:rsidRPr="008354D2" w:rsidRDefault="008825C6" w:rsidP="008825C6">
      <w:pPr>
        <w:spacing w:line="360" w:lineRule="auto"/>
        <w:ind w:firstLine="567"/>
        <w:jc w:val="both"/>
        <w:rPr>
          <w:rFonts w:ascii="Arial" w:hAnsi="Arial" w:cs="Arial"/>
          <w:sz w:val="22"/>
          <w:szCs w:val="22"/>
          <w:lang/>
        </w:rPr>
      </w:pPr>
      <w:r w:rsidRPr="008354D2">
        <w:rPr>
          <w:rFonts w:ascii="Arial" w:hAnsi="Arial" w:cs="Arial"/>
          <w:sz w:val="22"/>
          <w:szCs w:val="22"/>
          <w:lang/>
        </w:rPr>
        <w:t xml:space="preserve">Como bem coloca Maria Vitoria Benevides, ainda sofremos um processo de negação dos direitos sociais arduamente conquistados, na medida em que prospera a defesa de um Estado mínimo, que abandona o povo a sua sorte e que reduz a cidadania às liberdades civis e políticas, mantendo em contrapartida os privilégios dos ‘de cima’ e a brutal carência de direitos dos ‘de baixo’. </w:t>
      </w:r>
    </w:p>
    <w:p w:rsidR="00581017" w:rsidRPr="008354D2" w:rsidRDefault="00ED6DD3" w:rsidP="00BF4427">
      <w:pPr>
        <w:spacing w:line="360" w:lineRule="auto"/>
        <w:jc w:val="both"/>
        <w:rPr>
          <w:rFonts w:ascii="Arial" w:hAnsi="Arial" w:cs="Arial"/>
          <w:sz w:val="22"/>
          <w:szCs w:val="22"/>
          <w:lang/>
        </w:rPr>
        <w:sectPr w:rsidR="00581017" w:rsidRPr="008354D2" w:rsidSect="00366370">
          <w:footnotePr>
            <w:numRestart w:val="eachSect"/>
          </w:footnotePr>
          <w:pgSz w:w="11906" w:h="16838"/>
          <w:pgMar w:top="1474" w:right="1474" w:bottom="1474" w:left="1474" w:header="709" w:footer="709" w:gutter="0"/>
          <w:cols w:space="708"/>
          <w:docGrid w:linePitch="360"/>
        </w:sectPr>
      </w:pPr>
      <w:r w:rsidRPr="008354D2">
        <w:rPr>
          <w:rFonts w:ascii="Arial" w:hAnsi="Arial" w:cs="Arial"/>
          <w:sz w:val="22"/>
          <w:szCs w:val="22"/>
          <w:lang/>
        </w:rPr>
        <w:t>Esse quadro, porém, pouco a pouco v</w:t>
      </w:r>
      <w:r>
        <w:rPr>
          <w:rFonts w:ascii="Arial" w:hAnsi="Arial" w:cs="Arial"/>
          <w:sz w:val="22"/>
          <w:szCs w:val="22"/>
          <w:lang/>
        </w:rPr>
        <w:t>em se</w:t>
      </w:r>
      <w:r w:rsidRPr="008354D2">
        <w:rPr>
          <w:rFonts w:ascii="Arial" w:hAnsi="Arial" w:cs="Arial"/>
          <w:sz w:val="22"/>
          <w:szCs w:val="22"/>
          <w:lang/>
        </w:rPr>
        <w:t xml:space="preserve"> confrontando com o impacto causado pela exigência da aplicação das garantias constitucionais, demandas e conquistas</w:t>
      </w:r>
      <w:r w:rsidR="002D1E87">
        <w:rPr>
          <w:rFonts w:ascii="Arial" w:hAnsi="Arial" w:cs="Arial"/>
          <w:sz w:val="22"/>
          <w:szCs w:val="22"/>
          <w:lang/>
        </w:rPr>
        <w:t xml:space="preserve"> populares</w:t>
      </w:r>
      <w:r w:rsidRPr="008354D2">
        <w:rPr>
          <w:rFonts w:ascii="Arial" w:hAnsi="Arial" w:cs="Arial"/>
          <w:sz w:val="22"/>
          <w:szCs w:val="22"/>
          <w:lang/>
        </w:rPr>
        <w:t>.</w:t>
      </w:r>
    </w:p>
    <w:p w:rsidR="00963925" w:rsidRPr="00FD62A0" w:rsidRDefault="00963925" w:rsidP="00BF4427">
      <w:pPr>
        <w:widowControl w:val="0"/>
        <w:tabs>
          <w:tab w:val="left" w:pos="0"/>
        </w:tabs>
        <w:autoSpaceDE w:val="0"/>
        <w:autoSpaceDN w:val="0"/>
        <w:adjustRightInd w:val="0"/>
        <w:spacing w:line="360" w:lineRule="auto"/>
        <w:jc w:val="both"/>
        <w:rPr>
          <w:rFonts w:ascii="Arial" w:hAnsi="Arial" w:cs="Arial"/>
          <w:b/>
          <w:sz w:val="20"/>
          <w:szCs w:val="20"/>
        </w:rPr>
      </w:pPr>
      <w:r w:rsidRPr="00FD62A0">
        <w:rPr>
          <w:rFonts w:ascii="Arial" w:hAnsi="Arial" w:cs="Arial"/>
          <w:b/>
          <w:sz w:val="20"/>
          <w:szCs w:val="20"/>
        </w:rPr>
        <w:lastRenderedPageBreak/>
        <w:t>FONTES:</w:t>
      </w:r>
    </w:p>
    <w:p w:rsidR="00963925" w:rsidRPr="00FD62A0" w:rsidRDefault="00963925" w:rsidP="00BF4427">
      <w:pPr>
        <w:widowControl w:val="0"/>
        <w:tabs>
          <w:tab w:val="left" w:pos="0"/>
        </w:tabs>
        <w:autoSpaceDE w:val="0"/>
        <w:autoSpaceDN w:val="0"/>
        <w:adjustRightInd w:val="0"/>
        <w:spacing w:line="360" w:lineRule="auto"/>
        <w:jc w:val="both"/>
        <w:rPr>
          <w:rFonts w:ascii="Arial" w:hAnsi="Arial" w:cs="Arial"/>
          <w:sz w:val="20"/>
          <w:szCs w:val="20"/>
        </w:rPr>
      </w:pPr>
    </w:p>
    <w:p w:rsidR="000F5293" w:rsidRPr="00FD62A0" w:rsidRDefault="00173ED4" w:rsidP="00173ED4">
      <w:pPr>
        <w:spacing w:line="360" w:lineRule="auto"/>
        <w:jc w:val="both"/>
        <w:rPr>
          <w:rFonts w:ascii="Arial" w:hAnsi="Arial" w:cs="Arial"/>
          <w:sz w:val="20"/>
          <w:szCs w:val="20"/>
        </w:rPr>
      </w:pPr>
      <w:r w:rsidRPr="00FD62A0">
        <w:rPr>
          <w:rFonts w:ascii="Arial" w:hAnsi="Arial" w:cs="Arial"/>
          <w:sz w:val="20"/>
          <w:szCs w:val="20"/>
        </w:rPr>
        <w:t>Casa Civil (1940)</w:t>
      </w:r>
      <w:r w:rsidR="000F5293" w:rsidRPr="00FD62A0">
        <w:rPr>
          <w:rFonts w:ascii="Arial" w:hAnsi="Arial" w:cs="Arial"/>
          <w:sz w:val="20"/>
          <w:szCs w:val="20"/>
        </w:rPr>
        <w:t>,</w:t>
      </w:r>
      <w:r w:rsidRPr="00FD62A0">
        <w:rPr>
          <w:rFonts w:ascii="Arial" w:hAnsi="Arial" w:cs="Arial"/>
          <w:sz w:val="20"/>
          <w:szCs w:val="20"/>
        </w:rPr>
        <w:t xml:space="preserve"> </w:t>
      </w:r>
      <w:r w:rsidRPr="00FD62A0">
        <w:rPr>
          <w:rFonts w:ascii="Arial" w:hAnsi="Arial" w:cs="Arial"/>
          <w:i/>
          <w:sz w:val="20"/>
          <w:szCs w:val="20"/>
        </w:rPr>
        <w:t>Código Penal Brasileiro</w:t>
      </w:r>
      <w:r w:rsidRPr="00FD62A0">
        <w:rPr>
          <w:rFonts w:ascii="Arial" w:hAnsi="Arial" w:cs="Arial"/>
          <w:sz w:val="20"/>
          <w:szCs w:val="20"/>
        </w:rPr>
        <w:t xml:space="preserve">. </w:t>
      </w:r>
    </w:p>
    <w:p w:rsidR="00173ED4" w:rsidRPr="00FD62A0" w:rsidRDefault="00173ED4" w:rsidP="00173ED4">
      <w:pPr>
        <w:spacing w:line="360" w:lineRule="auto"/>
        <w:jc w:val="both"/>
        <w:rPr>
          <w:rFonts w:ascii="Arial" w:hAnsi="Arial" w:cs="Arial"/>
          <w:sz w:val="20"/>
          <w:szCs w:val="20"/>
        </w:rPr>
      </w:pPr>
      <w:r w:rsidRPr="00FD62A0">
        <w:rPr>
          <w:rFonts w:ascii="Arial" w:hAnsi="Arial" w:cs="Arial"/>
          <w:sz w:val="20"/>
          <w:szCs w:val="20"/>
        </w:rPr>
        <w:t xml:space="preserve">Disponível em </w:t>
      </w:r>
    </w:p>
    <w:p w:rsidR="00173ED4" w:rsidRPr="00FD62A0" w:rsidRDefault="00173ED4" w:rsidP="00173ED4">
      <w:pPr>
        <w:spacing w:line="360" w:lineRule="auto"/>
        <w:jc w:val="both"/>
        <w:rPr>
          <w:rFonts w:ascii="Arial" w:hAnsi="Arial" w:cs="Arial"/>
          <w:color w:val="000000"/>
          <w:sz w:val="20"/>
          <w:szCs w:val="20"/>
        </w:rPr>
      </w:pPr>
      <w:hyperlink r:id="rId26" w:history="1">
        <w:r w:rsidRPr="00FD62A0">
          <w:rPr>
            <w:rStyle w:val="Hyperlink"/>
            <w:rFonts w:ascii="Arial" w:hAnsi="Arial" w:cs="Arial"/>
            <w:color w:val="000000"/>
            <w:sz w:val="20"/>
            <w:szCs w:val="20"/>
            <w:u w:val="none"/>
          </w:rPr>
          <w:t>http://www.planalto.gov.br/ccivil/Decreto-lei/del2848.htm</w:t>
        </w:r>
      </w:hyperlink>
    </w:p>
    <w:p w:rsidR="00173ED4" w:rsidRPr="00FD62A0" w:rsidRDefault="00173ED4" w:rsidP="00173ED4">
      <w:pPr>
        <w:widowControl w:val="0"/>
        <w:tabs>
          <w:tab w:val="left" w:pos="0"/>
        </w:tabs>
        <w:autoSpaceDE w:val="0"/>
        <w:autoSpaceDN w:val="0"/>
        <w:adjustRightInd w:val="0"/>
        <w:spacing w:line="360" w:lineRule="auto"/>
        <w:jc w:val="both"/>
        <w:rPr>
          <w:rFonts w:ascii="Arial" w:hAnsi="Arial" w:cs="Arial"/>
          <w:i/>
          <w:color w:val="000000"/>
          <w:sz w:val="20"/>
          <w:szCs w:val="20"/>
        </w:rPr>
      </w:pPr>
      <w:r w:rsidRPr="00FD62A0">
        <w:rPr>
          <w:rFonts w:ascii="Arial" w:hAnsi="Arial" w:cs="Arial"/>
          <w:color w:val="000000"/>
          <w:sz w:val="20"/>
          <w:szCs w:val="20"/>
        </w:rPr>
        <w:t xml:space="preserve">Casa Civil. (1998) </w:t>
      </w:r>
      <w:r w:rsidRPr="00FD62A0">
        <w:rPr>
          <w:rFonts w:ascii="Arial" w:hAnsi="Arial" w:cs="Arial"/>
          <w:i/>
          <w:color w:val="000000"/>
          <w:sz w:val="20"/>
          <w:szCs w:val="20"/>
        </w:rPr>
        <w:t>C</w:t>
      </w:r>
      <w:r w:rsidR="000F5293" w:rsidRPr="00FD62A0">
        <w:rPr>
          <w:rFonts w:ascii="Arial" w:hAnsi="Arial" w:cs="Arial"/>
          <w:i/>
          <w:color w:val="000000"/>
          <w:sz w:val="20"/>
          <w:szCs w:val="20"/>
        </w:rPr>
        <w:t>onstituição Federal do Brasil</w:t>
      </w:r>
    </w:p>
    <w:p w:rsidR="00173ED4" w:rsidRPr="00FD62A0" w:rsidRDefault="00173ED4" w:rsidP="00173ED4">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27" w:history="1">
        <w:r w:rsidRPr="00FD62A0">
          <w:rPr>
            <w:rStyle w:val="Hyperlink"/>
            <w:rFonts w:ascii="Arial" w:hAnsi="Arial" w:cs="Arial"/>
            <w:color w:val="000000"/>
            <w:sz w:val="20"/>
            <w:szCs w:val="20"/>
            <w:u w:val="none"/>
          </w:rPr>
          <w:t>http://www.planalto.gov.br/ccivil_03/Constituicao/Constitui%C3%A7ao.htm</w:t>
        </w:r>
      </w:hyperlink>
      <w:r w:rsidRPr="00FD62A0">
        <w:rPr>
          <w:rFonts w:ascii="Arial" w:hAnsi="Arial" w:cs="Arial"/>
          <w:color w:val="000000"/>
          <w:sz w:val="20"/>
          <w:szCs w:val="20"/>
        </w:rPr>
        <w:t xml:space="preserve"> </w:t>
      </w:r>
    </w:p>
    <w:p w:rsidR="000F5293" w:rsidRPr="00FD62A0" w:rsidRDefault="000F5293" w:rsidP="000F5293">
      <w:pPr>
        <w:spacing w:line="360" w:lineRule="auto"/>
        <w:jc w:val="both"/>
        <w:rPr>
          <w:rFonts w:ascii="Arial" w:hAnsi="Arial" w:cs="Arial"/>
          <w:i/>
          <w:color w:val="000000"/>
          <w:sz w:val="20"/>
          <w:szCs w:val="20"/>
        </w:rPr>
      </w:pPr>
      <w:r w:rsidRPr="00FD62A0">
        <w:rPr>
          <w:rFonts w:ascii="Arial" w:hAnsi="Arial" w:cs="Arial"/>
          <w:color w:val="000000"/>
          <w:sz w:val="20"/>
          <w:szCs w:val="20"/>
        </w:rPr>
        <w:t xml:space="preserve">Casa Civil (2007). </w:t>
      </w:r>
      <w:r w:rsidRPr="00FD62A0">
        <w:rPr>
          <w:rFonts w:ascii="Arial" w:hAnsi="Arial" w:cs="Arial"/>
          <w:i/>
          <w:color w:val="000000"/>
          <w:sz w:val="20"/>
          <w:szCs w:val="20"/>
        </w:rPr>
        <w:t xml:space="preserve">Decreto 6.170, de 25 de julho de 2007 </w:t>
      </w:r>
    </w:p>
    <w:p w:rsidR="000F5293" w:rsidRPr="00FD62A0" w:rsidRDefault="000F5293" w:rsidP="000F5293">
      <w:pPr>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28" w:history="1">
        <w:r w:rsidRPr="00FD62A0">
          <w:rPr>
            <w:rStyle w:val="Hyperlink"/>
            <w:rFonts w:ascii="Arial" w:hAnsi="Arial" w:cs="Arial"/>
            <w:color w:val="000000"/>
            <w:sz w:val="20"/>
            <w:szCs w:val="20"/>
            <w:u w:val="none"/>
          </w:rPr>
          <w:t>http://www.planalto.gov.br/ccivil_03/_Ato2007-2010/2007/Decreto/D6170.htm</w:t>
        </w:r>
      </w:hyperlink>
    </w:p>
    <w:p w:rsidR="00173ED4" w:rsidRPr="00FD62A0" w:rsidRDefault="00173ED4" w:rsidP="00173ED4">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Casa Civil. (1995) </w:t>
      </w:r>
      <w:r w:rsidRPr="00FD62A0">
        <w:rPr>
          <w:rFonts w:ascii="Arial" w:hAnsi="Arial" w:cs="Arial"/>
          <w:i/>
          <w:color w:val="000000"/>
          <w:sz w:val="20"/>
          <w:szCs w:val="20"/>
        </w:rPr>
        <w:t>Lei nº 8.987/95</w:t>
      </w:r>
    </w:p>
    <w:p w:rsidR="00173ED4" w:rsidRPr="00FD62A0" w:rsidRDefault="00173ED4" w:rsidP="00173ED4">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29" w:history="1">
        <w:r w:rsidRPr="00FD62A0">
          <w:rPr>
            <w:rStyle w:val="Hyperlink"/>
            <w:rFonts w:ascii="Arial" w:hAnsi="Arial" w:cs="Arial"/>
            <w:color w:val="000000"/>
            <w:sz w:val="20"/>
            <w:szCs w:val="20"/>
            <w:u w:val="none"/>
          </w:rPr>
          <w:t>http://www.planalto.gov.br/ccivil_03/LEIS/L8987cons.htm</w:t>
        </w:r>
      </w:hyperlink>
      <w:r w:rsidRPr="00FD62A0">
        <w:rPr>
          <w:rFonts w:ascii="Arial" w:hAnsi="Arial" w:cs="Arial"/>
          <w:color w:val="000000"/>
          <w:sz w:val="20"/>
          <w:szCs w:val="20"/>
        </w:rPr>
        <w:t xml:space="preserve">  </w:t>
      </w:r>
    </w:p>
    <w:p w:rsidR="00173ED4" w:rsidRPr="00FD62A0" w:rsidRDefault="00173ED4" w:rsidP="00173ED4">
      <w:pPr>
        <w:widowControl w:val="0"/>
        <w:tabs>
          <w:tab w:val="left" w:pos="0"/>
        </w:tabs>
        <w:autoSpaceDE w:val="0"/>
        <w:autoSpaceDN w:val="0"/>
        <w:adjustRightInd w:val="0"/>
        <w:spacing w:line="360" w:lineRule="auto"/>
        <w:jc w:val="both"/>
        <w:rPr>
          <w:rFonts w:ascii="Arial" w:hAnsi="Arial" w:cs="Arial"/>
          <w:i/>
          <w:color w:val="000000"/>
          <w:sz w:val="20"/>
          <w:szCs w:val="20"/>
        </w:rPr>
      </w:pPr>
      <w:r w:rsidRPr="00FD62A0">
        <w:rPr>
          <w:rFonts w:ascii="Arial" w:hAnsi="Arial" w:cs="Arial"/>
          <w:color w:val="000000"/>
          <w:sz w:val="20"/>
          <w:szCs w:val="20"/>
        </w:rPr>
        <w:t xml:space="preserve">Casa Civil. (2004) </w:t>
      </w:r>
      <w:r w:rsidR="000F5293" w:rsidRPr="00FD62A0">
        <w:rPr>
          <w:rFonts w:ascii="Arial" w:hAnsi="Arial" w:cs="Arial"/>
          <w:i/>
          <w:color w:val="000000"/>
          <w:sz w:val="20"/>
          <w:szCs w:val="20"/>
        </w:rPr>
        <w:t>Lei nº 11.079/04</w:t>
      </w:r>
    </w:p>
    <w:p w:rsidR="00173ED4" w:rsidRPr="00FD62A0" w:rsidRDefault="00173ED4" w:rsidP="00173ED4">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30" w:history="1">
        <w:r w:rsidRPr="00FD62A0">
          <w:rPr>
            <w:rStyle w:val="Hyperlink"/>
            <w:rFonts w:ascii="Arial" w:hAnsi="Arial" w:cs="Arial"/>
            <w:color w:val="000000"/>
            <w:sz w:val="20"/>
            <w:szCs w:val="20"/>
            <w:u w:val="none"/>
          </w:rPr>
          <w:t>http://www.planalto.gov.br/ccivil_03/_ato2004-2006/2004/Lei/L11079.htm</w:t>
        </w:r>
      </w:hyperlink>
      <w:r w:rsidRPr="00FD62A0">
        <w:rPr>
          <w:rFonts w:ascii="Arial" w:hAnsi="Arial" w:cs="Arial"/>
          <w:color w:val="000000"/>
          <w:sz w:val="20"/>
          <w:szCs w:val="20"/>
        </w:rPr>
        <w:t xml:space="preserve"> . </w:t>
      </w:r>
    </w:p>
    <w:p w:rsidR="008F5554" w:rsidRPr="00FD62A0" w:rsidRDefault="008F5554" w:rsidP="000F5293">
      <w:pPr>
        <w:autoSpaceDE w:val="0"/>
        <w:autoSpaceDN w:val="0"/>
        <w:adjustRightInd w:val="0"/>
        <w:spacing w:line="360" w:lineRule="auto"/>
        <w:ind w:left="426" w:hanging="426"/>
        <w:jc w:val="both"/>
        <w:rPr>
          <w:rFonts w:ascii="Arial" w:hAnsi="Arial" w:cs="Arial"/>
          <w:color w:val="000000"/>
          <w:sz w:val="20"/>
          <w:szCs w:val="20"/>
        </w:rPr>
      </w:pPr>
      <w:r w:rsidRPr="00FD62A0">
        <w:rPr>
          <w:rFonts w:ascii="Arial" w:hAnsi="Arial" w:cs="Arial"/>
          <w:color w:val="000000"/>
          <w:sz w:val="20"/>
          <w:szCs w:val="20"/>
        </w:rPr>
        <w:t xml:space="preserve">Comissão das Comunidades Europeias (2004). Livro verde sobre as parcerias público-privadas e o direito comunitário em matéria de contratos públicos e concessões. </w:t>
      </w:r>
    </w:p>
    <w:p w:rsidR="008F5554" w:rsidRPr="00FD62A0" w:rsidRDefault="008F5554" w:rsidP="008F5554">
      <w:pPr>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p>
    <w:p w:rsidR="008F5554" w:rsidRPr="00FD62A0" w:rsidRDefault="008F5554" w:rsidP="008F5554">
      <w:pPr>
        <w:autoSpaceDE w:val="0"/>
        <w:autoSpaceDN w:val="0"/>
        <w:adjustRightInd w:val="0"/>
        <w:spacing w:line="360" w:lineRule="auto"/>
        <w:jc w:val="both"/>
        <w:rPr>
          <w:rFonts w:ascii="Arial" w:hAnsi="Arial" w:cs="Arial"/>
          <w:color w:val="000000"/>
          <w:sz w:val="20"/>
          <w:szCs w:val="20"/>
        </w:rPr>
      </w:pPr>
      <w:hyperlink r:id="rId31" w:history="1">
        <w:r w:rsidRPr="00FD62A0">
          <w:rPr>
            <w:rStyle w:val="Hyperlink"/>
            <w:rFonts w:ascii="Arial" w:hAnsi="Arial" w:cs="Arial"/>
            <w:color w:val="000000"/>
            <w:sz w:val="20"/>
            <w:szCs w:val="20"/>
            <w:u w:val="none"/>
          </w:rPr>
          <w:t>http://eur-lex.europa.eu/LexUriServ/LexUriServ.do?uri=CO</w:t>
        </w:r>
        <w:r w:rsidRPr="00FD62A0">
          <w:rPr>
            <w:rStyle w:val="Hyperlink"/>
            <w:rFonts w:ascii="Arial" w:hAnsi="Arial" w:cs="Arial"/>
            <w:color w:val="000000"/>
            <w:sz w:val="20"/>
            <w:szCs w:val="20"/>
            <w:u w:val="none"/>
          </w:rPr>
          <w:t>M</w:t>
        </w:r>
        <w:r w:rsidRPr="00FD62A0">
          <w:rPr>
            <w:rStyle w:val="Hyperlink"/>
            <w:rFonts w:ascii="Arial" w:hAnsi="Arial" w:cs="Arial"/>
            <w:color w:val="000000"/>
            <w:sz w:val="20"/>
            <w:szCs w:val="20"/>
            <w:u w:val="none"/>
          </w:rPr>
          <w:t>:2004:0327:FIN:PT:PDF</w:t>
        </w:r>
      </w:hyperlink>
      <w:r w:rsidRPr="00FD62A0">
        <w:rPr>
          <w:rFonts w:ascii="Arial" w:hAnsi="Arial" w:cs="Arial"/>
          <w:color w:val="000000"/>
          <w:sz w:val="20"/>
          <w:szCs w:val="20"/>
        </w:rPr>
        <w:t xml:space="preserve"> </w:t>
      </w:r>
    </w:p>
    <w:p w:rsidR="00FC2DE7" w:rsidRPr="00FD62A0" w:rsidRDefault="00FC2DE7" w:rsidP="00FC2DE7">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Fundo Monetário Internacional (2004)</w:t>
      </w:r>
      <w:r w:rsidR="002B73A2" w:rsidRPr="00FD62A0">
        <w:rPr>
          <w:rFonts w:ascii="Arial" w:hAnsi="Arial" w:cs="Arial"/>
          <w:color w:val="000000"/>
          <w:sz w:val="20"/>
          <w:szCs w:val="20"/>
        </w:rPr>
        <w:t>,</w:t>
      </w:r>
      <w:r w:rsidRPr="00FD62A0">
        <w:rPr>
          <w:rFonts w:ascii="Arial" w:hAnsi="Arial" w:cs="Arial"/>
          <w:color w:val="000000"/>
          <w:sz w:val="20"/>
          <w:szCs w:val="20"/>
        </w:rPr>
        <w:t xml:space="preserve"> </w:t>
      </w:r>
      <w:r w:rsidRPr="00FD62A0">
        <w:rPr>
          <w:rFonts w:ascii="Arial" w:hAnsi="Arial" w:cs="Arial"/>
          <w:i/>
          <w:color w:val="000000"/>
          <w:sz w:val="20"/>
          <w:szCs w:val="20"/>
        </w:rPr>
        <w:t>Public-Private Partnerships</w:t>
      </w:r>
    </w:p>
    <w:p w:rsidR="00173ED4" w:rsidRPr="00FD62A0" w:rsidRDefault="00FC2DE7" w:rsidP="00FC2DE7">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32" w:history="1">
        <w:r w:rsidRPr="00FD62A0">
          <w:rPr>
            <w:rStyle w:val="Hyperlink"/>
            <w:rFonts w:ascii="Arial" w:hAnsi="Arial" w:cs="Arial"/>
            <w:color w:val="000000"/>
            <w:sz w:val="20"/>
            <w:szCs w:val="20"/>
            <w:u w:val="none"/>
          </w:rPr>
          <w:t>http://www.imf.org/external/np/fad/2</w:t>
        </w:r>
        <w:r w:rsidRPr="00FD62A0">
          <w:rPr>
            <w:rStyle w:val="Hyperlink"/>
            <w:rFonts w:ascii="Arial" w:hAnsi="Arial" w:cs="Arial"/>
            <w:color w:val="000000"/>
            <w:sz w:val="20"/>
            <w:szCs w:val="20"/>
            <w:u w:val="none"/>
          </w:rPr>
          <w:t>0</w:t>
        </w:r>
        <w:r w:rsidRPr="00FD62A0">
          <w:rPr>
            <w:rStyle w:val="Hyperlink"/>
            <w:rFonts w:ascii="Arial" w:hAnsi="Arial" w:cs="Arial"/>
            <w:color w:val="000000"/>
            <w:sz w:val="20"/>
            <w:szCs w:val="20"/>
            <w:u w:val="none"/>
          </w:rPr>
          <w:t>04/pifp/eng/031204.pdf</w:t>
        </w:r>
      </w:hyperlink>
    </w:p>
    <w:p w:rsidR="002B73A2" w:rsidRPr="00FD62A0" w:rsidRDefault="00FC2DE7" w:rsidP="002B73A2">
      <w:pPr>
        <w:autoSpaceDE w:val="0"/>
        <w:autoSpaceDN w:val="0"/>
        <w:adjustRightInd w:val="0"/>
        <w:spacing w:line="360" w:lineRule="auto"/>
        <w:ind w:left="426" w:hanging="426"/>
        <w:jc w:val="both"/>
        <w:rPr>
          <w:rFonts w:ascii="Arial" w:hAnsi="Arial" w:cs="Arial"/>
          <w:bCs/>
          <w:i/>
          <w:color w:val="000000"/>
          <w:sz w:val="20"/>
          <w:szCs w:val="20"/>
        </w:rPr>
      </w:pPr>
      <w:r w:rsidRPr="00FD62A0">
        <w:rPr>
          <w:rFonts w:ascii="Arial" w:hAnsi="Arial" w:cs="Arial"/>
          <w:bCs/>
          <w:color w:val="000000"/>
          <w:sz w:val="20"/>
          <w:szCs w:val="20"/>
        </w:rPr>
        <w:t xml:space="preserve">Instituto Brasileiro de Geografia e Estatística (2007), </w:t>
      </w:r>
      <w:r w:rsidRPr="00FD62A0">
        <w:rPr>
          <w:rFonts w:ascii="Arial" w:hAnsi="Arial" w:cs="Arial"/>
          <w:bCs/>
          <w:i/>
          <w:color w:val="000000"/>
          <w:sz w:val="20"/>
          <w:szCs w:val="20"/>
        </w:rPr>
        <w:t xml:space="preserve">Síntese de Indicadores Sociais - Uma Análise das Condições de Vida da População Brasileira 2007. </w:t>
      </w:r>
    </w:p>
    <w:p w:rsidR="00FC2DE7" w:rsidRPr="00FD62A0" w:rsidRDefault="00FC2DE7" w:rsidP="002B73A2">
      <w:pPr>
        <w:autoSpaceDE w:val="0"/>
        <w:autoSpaceDN w:val="0"/>
        <w:adjustRightInd w:val="0"/>
        <w:spacing w:line="360" w:lineRule="auto"/>
        <w:ind w:left="426" w:hanging="426"/>
        <w:jc w:val="both"/>
        <w:rPr>
          <w:rFonts w:ascii="Arial" w:hAnsi="Arial" w:cs="Arial"/>
          <w:color w:val="000000"/>
          <w:sz w:val="20"/>
          <w:szCs w:val="20"/>
        </w:rPr>
      </w:pPr>
      <w:r w:rsidRPr="00FD62A0">
        <w:rPr>
          <w:rFonts w:ascii="Arial" w:hAnsi="Arial" w:cs="Arial"/>
          <w:bCs/>
          <w:color w:val="000000"/>
          <w:sz w:val="20"/>
          <w:szCs w:val="20"/>
        </w:rPr>
        <w:t>Disponível em</w:t>
      </w:r>
    </w:p>
    <w:p w:rsidR="00FC2DE7" w:rsidRPr="00FD62A0" w:rsidRDefault="00FC2DE7" w:rsidP="00FC2DE7">
      <w:pPr>
        <w:spacing w:line="360" w:lineRule="auto"/>
        <w:jc w:val="both"/>
        <w:rPr>
          <w:rFonts w:ascii="Arial" w:hAnsi="Arial" w:cs="Arial"/>
          <w:color w:val="000000"/>
          <w:sz w:val="20"/>
          <w:szCs w:val="20"/>
        </w:rPr>
      </w:pPr>
      <w:hyperlink r:id="rId33" w:history="1">
        <w:r w:rsidRPr="00FD62A0">
          <w:rPr>
            <w:rStyle w:val="Hyperlink"/>
            <w:rFonts w:ascii="Arial" w:hAnsi="Arial" w:cs="Arial"/>
            <w:color w:val="000000"/>
            <w:sz w:val="20"/>
            <w:szCs w:val="20"/>
            <w:u w:val="none"/>
          </w:rPr>
          <w:t>http://www.ibge.gov.br/home/estatistica/populacao/condicaodevida/indicadoresminimos/sinteseindicsociais2007/indic_sociais2007.pdf</w:t>
        </w:r>
      </w:hyperlink>
    </w:p>
    <w:p w:rsidR="00C6795F" w:rsidRPr="00FD62A0" w:rsidRDefault="00C6795F" w:rsidP="002B73A2">
      <w:pPr>
        <w:tabs>
          <w:tab w:val="left" w:pos="426"/>
        </w:tabs>
        <w:autoSpaceDE w:val="0"/>
        <w:autoSpaceDN w:val="0"/>
        <w:adjustRightInd w:val="0"/>
        <w:spacing w:line="360" w:lineRule="auto"/>
        <w:ind w:left="426" w:hanging="426"/>
        <w:jc w:val="both"/>
        <w:rPr>
          <w:rFonts w:ascii="Arial" w:hAnsi="Arial" w:cs="Arial"/>
          <w:i/>
          <w:color w:val="000000"/>
          <w:sz w:val="20"/>
          <w:szCs w:val="20"/>
        </w:rPr>
      </w:pPr>
      <w:r w:rsidRPr="00FD62A0">
        <w:rPr>
          <w:rFonts w:ascii="Arial" w:hAnsi="Arial" w:cs="Arial"/>
          <w:color w:val="000000"/>
          <w:sz w:val="20"/>
          <w:szCs w:val="20"/>
        </w:rPr>
        <w:t xml:space="preserve">Ministério da Justiça (2002), </w:t>
      </w:r>
      <w:r w:rsidRPr="00FD62A0">
        <w:rPr>
          <w:rFonts w:ascii="Arial" w:hAnsi="Arial" w:cs="Arial"/>
          <w:i/>
          <w:color w:val="000000"/>
          <w:sz w:val="20"/>
          <w:szCs w:val="20"/>
        </w:rPr>
        <w:t xml:space="preserve">Plano nacional de enfrentamento da exploração sexual </w:t>
      </w:r>
      <w:r w:rsidR="00A85E06">
        <w:rPr>
          <w:rFonts w:ascii="Arial" w:hAnsi="Arial" w:cs="Arial"/>
          <w:i/>
          <w:color w:val="000000"/>
          <w:sz w:val="20"/>
          <w:szCs w:val="20"/>
        </w:rPr>
        <w:t>infantojuvenil</w:t>
      </w:r>
      <w:r w:rsidRPr="00FD62A0">
        <w:rPr>
          <w:rFonts w:ascii="Arial" w:hAnsi="Arial" w:cs="Arial"/>
          <w:i/>
          <w:color w:val="000000"/>
          <w:sz w:val="20"/>
          <w:szCs w:val="20"/>
        </w:rPr>
        <w:t>.</w:t>
      </w:r>
    </w:p>
    <w:p w:rsidR="00C6795F" w:rsidRPr="00FD62A0" w:rsidRDefault="00C6795F" w:rsidP="00C6795F">
      <w:pPr>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34" w:history="1">
        <w:r w:rsidRPr="00FD62A0">
          <w:rPr>
            <w:rStyle w:val="Hyperlink"/>
            <w:rFonts w:ascii="Arial" w:hAnsi="Arial" w:cs="Arial"/>
            <w:color w:val="000000"/>
            <w:sz w:val="20"/>
            <w:szCs w:val="20"/>
            <w:u w:val="none"/>
          </w:rPr>
          <w:t>http://www.pr5.ufrj.br/pedh/documentos/plano_nacional%20Violencia.pdf</w:t>
        </w:r>
      </w:hyperlink>
      <w:r w:rsidRPr="00FD62A0">
        <w:rPr>
          <w:rFonts w:ascii="Arial" w:hAnsi="Arial" w:cs="Arial"/>
          <w:color w:val="000000"/>
          <w:sz w:val="20"/>
          <w:szCs w:val="20"/>
        </w:rPr>
        <w:t xml:space="preserve"> </w:t>
      </w:r>
    </w:p>
    <w:p w:rsidR="002B73A2" w:rsidRPr="00FD62A0" w:rsidRDefault="00C6795F" w:rsidP="00C6795F">
      <w:pPr>
        <w:widowControl w:val="0"/>
        <w:autoSpaceDE w:val="0"/>
        <w:autoSpaceDN w:val="0"/>
        <w:adjustRightInd w:val="0"/>
        <w:spacing w:line="360" w:lineRule="auto"/>
        <w:jc w:val="both"/>
        <w:rPr>
          <w:rFonts w:ascii="Arial" w:hAnsi="Arial" w:cs="Arial"/>
          <w:i/>
          <w:color w:val="000000"/>
          <w:sz w:val="20"/>
          <w:szCs w:val="20"/>
        </w:rPr>
      </w:pPr>
      <w:r w:rsidRPr="00FD62A0">
        <w:rPr>
          <w:rFonts w:ascii="Arial" w:hAnsi="Arial" w:cs="Arial"/>
          <w:color w:val="000000"/>
          <w:sz w:val="20"/>
          <w:szCs w:val="20"/>
        </w:rPr>
        <w:t xml:space="preserve">Ministério do Turismo (2009), </w:t>
      </w:r>
      <w:r w:rsidRPr="00FD62A0">
        <w:rPr>
          <w:rFonts w:ascii="Arial" w:hAnsi="Arial" w:cs="Arial"/>
          <w:i/>
          <w:color w:val="000000"/>
          <w:sz w:val="20"/>
          <w:szCs w:val="20"/>
        </w:rPr>
        <w:t>Desafios do Turismo Sustentável.</w:t>
      </w:r>
    </w:p>
    <w:p w:rsidR="00C6795F" w:rsidRPr="00FD62A0" w:rsidRDefault="00C6795F" w:rsidP="002B73A2">
      <w:pPr>
        <w:widowControl w:val="0"/>
        <w:autoSpaceDE w:val="0"/>
        <w:autoSpaceDN w:val="0"/>
        <w:adjustRightInd w:val="0"/>
        <w:spacing w:line="360" w:lineRule="auto"/>
        <w:rPr>
          <w:rFonts w:ascii="Arial" w:hAnsi="Arial" w:cs="Arial"/>
          <w:color w:val="000000"/>
          <w:sz w:val="20"/>
          <w:szCs w:val="20"/>
        </w:rPr>
      </w:pPr>
      <w:r w:rsidRPr="00FD62A0">
        <w:rPr>
          <w:rFonts w:ascii="Arial" w:hAnsi="Arial" w:cs="Arial"/>
          <w:color w:val="000000"/>
          <w:sz w:val="20"/>
          <w:szCs w:val="20"/>
        </w:rPr>
        <w:t xml:space="preserve">Disponível em </w:t>
      </w:r>
      <w:hyperlink r:id="rId35" w:history="1">
        <w:r w:rsidRPr="00FD62A0">
          <w:rPr>
            <w:rStyle w:val="Hyperlink"/>
            <w:rFonts w:ascii="Arial" w:hAnsi="Arial" w:cs="Arial"/>
            <w:color w:val="000000"/>
            <w:sz w:val="20"/>
            <w:szCs w:val="20"/>
            <w:u w:val="none"/>
          </w:rPr>
          <w:t>http://www.turismo.gov.br/turismo/o_ministerio/publicacoes/cadernos_publicacoes/10desafios.html</w:t>
        </w:r>
      </w:hyperlink>
      <w:r w:rsidRPr="00FD62A0">
        <w:rPr>
          <w:rFonts w:ascii="Arial" w:hAnsi="Arial" w:cs="Arial"/>
          <w:color w:val="000000"/>
          <w:sz w:val="20"/>
          <w:szCs w:val="20"/>
        </w:rPr>
        <w:t xml:space="preserve">     </w:t>
      </w:r>
    </w:p>
    <w:p w:rsidR="002B73A2" w:rsidRPr="00FD62A0" w:rsidRDefault="00C6795F" w:rsidP="00C6795F">
      <w:pPr>
        <w:widowControl w:val="0"/>
        <w:autoSpaceDE w:val="0"/>
        <w:autoSpaceDN w:val="0"/>
        <w:adjustRightInd w:val="0"/>
        <w:spacing w:line="360" w:lineRule="auto"/>
        <w:jc w:val="both"/>
        <w:rPr>
          <w:rFonts w:ascii="Arial" w:hAnsi="Arial" w:cs="Arial"/>
          <w:i/>
          <w:color w:val="000000"/>
          <w:sz w:val="20"/>
          <w:szCs w:val="20"/>
        </w:rPr>
      </w:pPr>
      <w:r w:rsidRPr="00FD62A0">
        <w:rPr>
          <w:rFonts w:ascii="Arial" w:hAnsi="Arial" w:cs="Arial"/>
          <w:color w:val="000000"/>
          <w:sz w:val="20"/>
          <w:szCs w:val="20"/>
        </w:rPr>
        <w:t>Ministério do Turismo</w:t>
      </w:r>
      <w:r w:rsidRPr="00FD62A0">
        <w:rPr>
          <w:rFonts w:ascii="Arial" w:hAnsi="Arial" w:cs="Arial"/>
          <w:i/>
          <w:color w:val="000000"/>
          <w:sz w:val="20"/>
          <w:szCs w:val="20"/>
        </w:rPr>
        <w:t>. Regimento Interno do Ministério do Turismo.</w:t>
      </w:r>
    </w:p>
    <w:p w:rsidR="00C6795F" w:rsidRPr="00FD62A0" w:rsidRDefault="00C6795F" w:rsidP="00C6795F">
      <w:pPr>
        <w:widowControl w:val="0"/>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36" w:history="1">
        <w:r w:rsidRPr="00FD62A0">
          <w:rPr>
            <w:rStyle w:val="Hyperlink"/>
            <w:rFonts w:ascii="Arial" w:hAnsi="Arial" w:cs="Arial"/>
            <w:color w:val="000000"/>
            <w:sz w:val="20"/>
            <w:szCs w:val="20"/>
            <w:u w:val="none"/>
          </w:rPr>
          <w:t>http://www.turismo.gov.br/tur</w:t>
        </w:r>
        <w:r w:rsidRPr="00FD62A0">
          <w:rPr>
            <w:rStyle w:val="Hyperlink"/>
            <w:rFonts w:ascii="Arial" w:hAnsi="Arial" w:cs="Arial"/>
            <w:color w:val="000000"/>
            <w:sz w:val="20"/>
            <w:szCs w:val="20"/>
            <w:u w:val="none"/>
          </w:rPr>
          <w:t>i</w:t>
        </w:r>
        <w:r w:rsidRPr="00FD62A0">
          <w:rPr>
            <w:rStyle w:val="Hyperlink"/>
            <w:rFonts w:ascii="Arial" w:hAnsi="Arial" w:cs="Arial"/>
            <w:color w:val="000000"/>
            <w:sz w:val="20"/>
            <w:szCs w:val="20"/>
            <w:u w:val="none"/>
          </w:rPr>
          <w:t>smo/o_minist</w:t>
        </w:r>
        <w:r w:rsidRPr="00FD62A0">
          <w:rPr>
            <w:rStyle w:val="Hyperlink"/>
            <w:rFonts w:ascii="Arial" w:hAnsi="Arial" w:cs="Arial"/>
            <w:color w:val="000000"/>
            <w:sz w:val="20"/>
            <w:szCs w:val="20"/>
            <w:u w:val="none"/>
          </w:rPr>
          <w:t>e</w:t>
        </w:r>
        <w:r w:rsidRPr="00FD62A0">
          <w:rPr>
            <w:rStyle w:val="Hyperlink"/>
            <w:rFonts w:ascii="Arial" w:hAnsi="Arial" w:cs="Arial"/>
            <w:color w:val="000000"/>
            <w:sz w:val="20"/>
            <w:szCs w:val="20"/>
            <w:u w:val="none"/>
          </w:rPr>
          <w:t>rio/regimento</w:t>
        </w:r>
      </w:hyperlink>
      <w:r w:rsidRPr="00FD62A0">
        <w:rPr>
          <w:rFonts w:ascii="Arial" w:hAnsi="Arial" w:cs="Arial"/>
          <w:color w:val="000000"/>
          <w:sz w:val="20"/>
          <w:szCs w:val="20"/>
        </w:rPr>
        <w:t xml:space="preserve">  </w:t>
      </w:r>
    </w:p>
    <w:p w:rsidR="005A20A5" w:rsidRPr="00FD62A0" w:rsidRDefault="005A20A5" w:rsidP="00F50DA3">
      <w:pPr>
        <w:widowControl w:val="0"/>
        <w:tabs>
          <w:tab w:val="left" w:pos="284"/>
        </w:tabs>
        <w:autoSpaceDE w:val="0"/>
        <w:autoSpaceDN w:val="0"/>
        <w:adjustRightInd w:val="0"/>
        <w:spacing w:line="360" w:lineRule="auto"/>
        <w:ind w:left="426" w:hanging="426"/>
        <w:jc w:val="both"/>
        <w:rPr>
          <w:rFonts w:ascii="Arial" w:hAnsi="Arial" w:cs="Arial"/>
          <w:color w:val="000000"/>
          <w:sz w:val="20"/>
          <w:szCs w:val="20"/>
          <w:lang w:val="en-US"/>
        </w:rPr>
      </w:pPr>
      <w:r w:rsidRPr="00FD62A0">
        <w:rPr>
          <w:rFonts w:ascii="Arial" w:hAnsi="Arial" w:cs="Arial"/>
          <w:color w:val="000000"/>
          <w:sz w:val="20"/>
          <w:szCs w:val="20"/>
          <w:lang w:val="en-US"/>
        </w:rPr>
        <w:t xml:space="preserve">OMS (2010) Preventing sexual exploitation and abuse (SEA) by agency personnel during the </w:t>
      </w:r>
      <w:smartTag w:uri="urn:schemas-microsoft-com:office:smarttags" w:element="country-region">
        <w:smartTag w:uri="urn:schemas-microsoft-com:office:smarttags" w:element="place">
          <w:r w:rsidRPr="00FD62A0">
            <w:rPr>
              <w:rFonts w:ascii="Arial" w:hAnsi="Arial" w:cs="Arial"/>
              <w:color w:val="000000"/>
              <w:sz w:val="20"/>
              <w:szCs w:val="20"/>
              <w:lang w:val="en-US"/>
            </w:rPr>
            <w:t>Haiti</w:t>
          </w:r>
        </w:smartTag>
      </w:smartTag>
      <w:r w:rsidRPr="00FD62A0">
        <w:rPr>
          <w:rFonts w:ascii="Arial" w:hAnsi="Arial" w:cs="Arial"/>
          <w:color w:val="000000"/>
          <w:sz w:val="20"/>
          <w:szCs w:val="20"/>
          <w:lang w:val="en-US"/>
        </w:rPr>
        <w:t xml:space="preserve"> emergency</w:t>
      </w:r>
      <w:r w:rsidR="00F50DA3" w:rsidRPr="00FD62A0">
        <w:rPr>
          <w:rFonts w:ascii="Arial" w:hAnsi="Arial" w:cs="Arial"/>
          <w:color w:val="000000"/>
          <w:sz w:val="20"/>
          <w:szCs w:val="20"/>
          <w:lang w:val="en-US"/>
        </w:rPr>
        <w:t>.</w:t>
      </w:r>
    </w:p>
    <w:p w:rsidR="00F50DA3" w:rsidRPr="00FD62A0" w:rsidRDefault="00F50DA3" w:rsidP="00BF4427">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disponível em http://www.who.int/hac/crises/hti/haiti_guidelines_on_sexual_abuse.pdf</w:t>
      </w:r>
    </w:p>
    <w:p w:rsidR="002B73A2" w:rsidRPr="00FD62A0" w:rsidRDefault="0076112F" w:rsidP="00BF4427">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Senado Federal. (1967) </w:t>
      </w:r>
      <w:r w:rsidR="002B73A2" w:rsidRPr="00FD62A0">
        <w:rPr>
          <w:rFonts w:ascii="Arial" w:hAnsi="Arial" w:cs="Arial"/>
          <w:i/>
          <w:color w:val="000000"/>
          <w:sz w:val="20"/>
          <w:szCs w:val="20"/>
        </w:rPr>
        <w:t>Decreto nº 60.343/67</w:t>
      </w:r>
      <w:r w:rsidRPr="00FD62A0">
        <w:rPr>
          <w:rFonts w:ascii="Arial" w:hAnsi="Arial" w:cs="Arial"/>
          <w:i/>
          <w:color w:val="000000"/>
          <w:sz w:val="20"/>
          <w:szCs w:val="20"/>
        </w:rPr>
        <w:t>.</w:t>
      </w:r>
      <w:r w:rsidRPr="00FD62A0">
        <w:rPr>
          <w:rFonts w:ascii="Arial" w:hAnsi="Arial" w:cs="Arial"/>
          <w:color w:val="000000"/>
          <w:sz w:val="20"/>
          <w:szCs w:val="20"/>
        </w:rPr>
        <w:t xml:space="preserve"> </w:t>
      </w:r>
    </w:p>
    <w:p w:rsidR="00173ED4" w:rsidRPr="00FD62A0" w:rsidRDefault="0076112F" w:rsidP="00BF4427">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37" w:history="1">
        <w:r w:rsidRPr="00FD62A0">
          <w:rPr>
            <w:rStyle w:val="Hyperlink"/>
            <w:rFonts w:ascii="Arial" w:hAnsi="Arial" w:cs="Arial"/>
            <w:color w:val="000000"/>
            <w:sz w:val="20"/>
            <w:szCs w:val="20"/>
            <w:u w:val="none"/>
          </w:rPr>
          <w:t>http://www6.senado.gov.br/legislacao/ListaPublicacoes.action?id=191765</w:t>
        </w:r>
      </w:hyperlink>
    </w:p>
    <w:p w:rsidR="002B73A2" w:rsidRPr="00FD62A0" w:rsidRDefault="0076112F" w:rsidP="0076112F">
      <w:pPr>
        <w:widowControl w:val="0"/>
        <w:tabs>
          <w:tab w:val="left" w:pos="0"/>
        </w:tabs>
        <w:autoSpaceDE w:val="0"/>
        <w:autoSpaceDN w:val="0"/>
        <w:adjustRightInd w:val="0"/>
        <w:spacing w:line="360" w:lineRule="auto"/>
        <w:jc w:val="both"/>
        <w:rPr>
          <w:rFonts w:ascii="Arial" w:hAnsi="Arial" w:cs="Arial"/>
          <w:i/>
          <w:color w:val="000000"/>
          <w:sz w:val="20"/>
          <w:szCs w:val="20"/>
        </w:rPr>
      </w:pPr>
      <w:r w:rsidRPr="00FD62A0">
        <w:rPr>
          <w:rFonts w:ascii="Arial" w:hAnsi="Arial" w:cs="Arial"/>
          <w:color w:val="000000"/>
          <w:sz w:val="20"/>
          <w:szCs w:val="20"/>
        </w:rPr>
        <w:t xml:space="preserve">Serviço Social da Indústria (2009b). </w:t>
      </w:r>
      <w:r w:rsidRPr="00FD62A0">
        <w:rPr>
          <w:rFonts w:ascii="Arial" w:hAnsi="Arial" w:cs="Arial"/>
          <w:i/>
          <w:color w:val="000000"/>
          <w:sz w:val="20"/>
          <w:szCs w:val="20"/>
        </w:rPr>
        <w:t>Painel Indicadores SESI</w:t>
      </w:r>
    </w:p>
    <w:p w:rsidR="0076112F" w:rsidRPr="00FD62A0" w:rsidRDefault="0076112F" w:rsidP="0076112F">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p>
    <w:p w:rsidR="0076112F" w:rsidRPr="00FD62A0" w:rsidRDefault="0076112F" w:rsidP="0076112F">
      <w:pPr>
        <w:widowControl w:val="0"/>
        <w:tabs>
          <w:tab w:val="left" w:pos="1575"/>
        </w:tabs>
        <w:autoSpaceDE w:val="0"/>
        <w:autoSpaceDN w:val="0"/>
        <w:adjustRightInd w:val="0"/>
        <w:spacing w:line="360" w:lineRule="auto"/>
        <w:jc w:val="both"/>
        <w:rPr>
          <w:rFonts w:ascii="Arial" w:hAnsi="Arial" w:cs="Arial"/>
          <w:color w:val="000000"/>
          <w:sz w:val="20"/>
          <w:szCs w:val="20"/>
        </w:rPr>
      </w:pPr>
      <w:hyperlink r:id="rId38" w:history="1">
        <w:r w:rsidRPr="00FD62A0">
          <w:rPr>
            <w:rStyle w:val="Hyperlink"/>
            <w:rFonts w:ascii="Arial" w:hAnsi="Arial" w:cs="Arial"/>
            <w:color w:val="000000"/>
            <w:sz w:val="20"/>
            <w:szCs w:val="20"/>
            <w:u w:val="none"/>
          </w:rPr>
          <w:t>http://www.SESI.org.br/portal/main.jsp?lumChannelId=8A9015D016389BEA01163DF926A605C1</w:t>
        </w:r>
      </w:hyperlink>
      <w:r w:rsidRPr="00FD62A0">
        <w:rPr>
          <w:rFonts w:ascii="Arial" w:hAnsi="Arial" w:cs="Arial"/>
          <w:color w:val="000000"/>
          <w:sz w:val="20"/>
          <w:szCs w:val="20"/>
        </w:rPr>
        <w:t xml:space="preserve">   </w:t>
      </w:r>
    </w:p>
    <w:p w:rsidR="002B73A2" w:rsidRPr="00FD62A0" w:rsidRDefault="000F5293" w:rsidP="000F5293">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Serviço Social do Comércio (2004)</w:t>
      </w:r>
      <w:r w:rsidR="002B73A2" w:rsidRPr="00FD62A0">
        <w:rPr>
          <w:rFonts w:ascii="Arial" w:hAnsi="Arial" w:cs="Arial"/>
          <w:color w:val="000000"/>
          <w:sz w:val="20"/>
          <w:szCs w:val="20"/>
        </w:rPr>
        <w:t xml:space="preserve">, </w:t>
      </w:r>
      <w:r w:rsidRPr="00FD62A0">
        <w:rPr>
          <w:rFonts w:ascii="Arial" w:hAnsi="Arial" w:cs="Arial"/>
          <w:i/>
          <w:color w:val="000000"/>
          <w:sz w:val="20"/>
          <w:szCs w:val="20"/>
        </w:rPr>
        <w:t>Diretrizes gerais de ação do SESC</w:t>
      </w:r>
    </w:p>
    <w:p w:rsidR="000F5293" w:rsidRPr="00FD62A0" w:rsidRDefault="002B73A2" w:rsidP="000F5293">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lastRenderedPageBreak/>
        <w:t>Disponível em www.sesc.com.br</w:t>
      </w:r>
    </w:p>
    <w:p w:rsidR="000F5293" w:rsidRPr="00FD62A0" w:rsidRDefault="000F5293" w:rsidP="002B73A2">
      <w:pPr>
        <w:widowControl w:val="0"/>
        <w:tabs>
          <w:tab w:val="left" w:pos="426"/>
        </w:tabs>
        <w:autoSpaceDE w:val="0"/>
        <w:autoSpaceDN w:val="0"/>
        <w:adjustRightInd w:val="0"/>
        <w:spacing w:line="360" w:lineRule="auto"/>
        <w:ind w:left="426" w:hanging="426"/>
        <w:jc w:val="both"/>
        <w:rPr>
          <w:rFonts w:ascii="Arial" w:hAnsi="Arial" w:cs="Arial"/>
          <w:color w:val="000000"/>
          <w:sz w:val="20"/>
          <w:szCs w:val="20"/>
        </w:rPr>
      </w:pPr>
      <w:r w:rsidRPr="00FD62A0">
        <w:rPr>
          <w:rFonts w:ascii="Arial" w:hAnsi="Arial" w:cs="Arial"/>
          <w:color w:val="000000"/>
          <w:sz w:val="20"/>
          <w:szCs w:val="20"/>
        </w:rPr>
        <w:t xml:space="preserve">Serviço Nacional de Aprendizagem Industrial (2009). </w:t>
      </w:r>
      <w:r w:rsidRPr="00FD62A0">
        <w:rPr>
          <w:rFonts w:ascii="Arial" w:hAnsi="Arial" w:cs="Arial"/>
          <w:i/>
          <w:color w:val="000000"/>
          <w:sz w:val="20"/>
          <w:szCs w:val="20"/>
        </w:rPr>
        <w:t>Regimento do Serviço nacional de aprendizagem industrial</w:t>
      </w:r>
    </w:p>
    <w:p w:rsidR="002B73A2" w:rsidRPr="00FD62A0" w:rsidRDefault="002B73A2" w:rsidP="000F5293">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Disponível em http://www.senai.br/br/Publicacoes/snai_ind_pub_pch_det.aspx?idPub=22</w:t>
      </w:r>
    </w:p>
    <w:p w:rsidR="00D340AA" w:rsidRPr="00FD62A0" w:rsidRDefault="000F5293" w:rsidP="000F5293">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Serviço Nacional de Aprendizagem Industrial (2009), </w:t>
      </w:r>
      <w:r w:rsidRPr="00FD62A0">
        <w:rPr>
          <w:rFonts w:ascii="Arial" w:hAnsi="Arial" w:cs="Arial"/>
          <w:i/>
          <w:color w:val="000000"/>
          <w:sz w:val="20"/>
          <w:szCs w:val="20"/>
        </w:rPr>
        <w:t xml:space="preserve">Painel Indicadores SENAI </w:t>
      </w:r>
      <w:r w:rsidRPr="00FD62A0">
        <w:rPr>
          <w:rFonts w:ascii="Arial" w:hAnsi="Arial" w:cs="Arial"/>
          <w:color w:val="000000"/>
          <w:sz w:val="20"/>
          <w:szCs w:val="20"/>
        </w:rPr>
        <w:t xml:space="preserve">. </w:t>
      </w:r>
    </w:p>
    <w:p w:rsidR="000F5293" w:rsidRPr="00FD62A0" w:rsidRDefault="000F5293" w:rsidP="000F5293">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 xml:space="preserve">Disponível em </w:t>
      </w:r>
      <w:hyperlink r:id="rId39" w:history="1">
        <w:r w:rsidRPr="00FD62A0">
          <w:rPr>
            <w:rStyle w:val="Hyperlink"/>
            <w:rFonts w:ascii="Arial" w:hAnsi="Arial" w:cs="Arial"/>
            <w:color w:val="000000"/>
            <w:sz w:val="20"/>
            <w:szCs w:val="20"/>
            <w:u w:val="none"/>
          </w:rPr>
          <w:t>http://www.SENAI.br/br/institucional/snai_go.aspx</w:t>
        </w:r>
      </w:hyperlink>
      <w:r w:rsidRPr="00FD62A0">
        <w:rPr>
          <w:rFonts w:ascii="Arial" w:hAnsi="Arial" w:cs="Arial"/>
          <w:color w:val="000000"/>
          <w:sz w:val="20"/>
          <w:szCs w:val="20"/>
        </w:rPr>
        <w:t xml:space="preserve">.   </w:t>
      </w:r>
    </w:p>
    <w:p w:rsidR="00D340AA" w:rsidRPr="00FD62A0" w:rsidRDefault="000F5293" w:rsidP="000F5293">
      <w:pPr>
        <w:spacing w:line="360" w:lineRule="auto"/>
        <w:jc w:val="both"/>
        <w:rPr>
          <w:rFonts w:ascii="Arial" w:hAnsi="Arial" w:cs="Arial"/>
          <w:bCs/>
          <w:color w:val="000000"/>
          <w:sz w:val="20"/>
          <w:szCs w:val="20"/>
        </w:rPr>
      </w:pPr>
      <w:r w:rsidRPr="00FD62A0">
        <w:rPr>
          <w:rFonts w:ascii="Arial" w:hAnsi="Arial" w:cs="Arial"/>
          <w:bCs/>
          <w:color w:val="000000"/>
          <w:sz w:val="20"/>
          <w:szCs w:val="20"/>
        </w:rPr>
        <w:t xml:space="preserve">Takeda, Tatiana (2009) </w:t>
      </w:r>
      <w:r w:rsidRPr="00FD62A0">
        <w:rPr>
          <w:rFonts w:ascii="Arial" w:hAnsi="Arial" w:cs="Arial"/>
          <w:bCs/>
          <w:i/>
          <w:color w:val="000000"/>
          <w:sz w:val="20"/>
          <w:szCs w:val="20"/>
        </w:rPr>
        <w:t>Diferenciando a administração direta da indireta</w:t>
      </w:r>
      <w:r w:rsidRPr="00FD62A0">
        <w:rPr>
          <w:rFonts w:ascii="Arial" w:hAnsi="Arial" w:cs="Arial"/>
          <w:bCs/>
          <w:color w:val="000000"/>
          <w:sz w:val="20"/>
          <w:szCs w:val="20"/>
        </w:rPr>
        <w:t xml:space="preserve">. </w:t>
      </w:r>
    </w:p>
    <w:p w:rsidR="000F5293" w:rsidRPr="00FD62A0" w:rsidRDefault="000F5293" w:rsidP="000F5293">
      <w:pPr>
        <w:spacing w:line="360" w:lineRule="auto"/>
        <w:jc w:val="both"/>
        <w:rPr>
          <w:rFonts w:ascii="Arial" w:hAnsi="Arial" w:cs="Arial"/>
          <w:bCs/>
          <w:color w:val="000000"/>
          <w:sz w:val="20"/>
          <w:szCs w:val="20"/>
        </w:rPr>
      </w:pPr>
      <w:r w:rsidRPr="00FD62A0">
        <w:rPr>
          <w:rFonts w:ascii="Arial" w:hAnsi="Arial" w:cs="Arial"/>
          <w:bCs/>
          <w:color w:val="000000"/>
          <w:sz w:val="20"/>
          <w:szCs w:val="20"/>
        </w:rPr>
        <w:t xml:space="preserve">Disponível em </w:t>
      </w:r>
      <w:hyperlink r:id="rId40" w:history="1">
        <w:r w:rsidRPr="00FD62A0">
          <w:rPr>
            <w:rStyle w:val="Hyperlink"/>
            <w:rFonts w:ascii="Arial" w:hAnsi="Arial" w:cs="Arial"/>
            <w:bCs/>
            <w:color w:val="000000"/>
            <w:sz w:val="20"/>
            <w:szCs w:val="20"/>
            <w:u w:val="none"/>
          </w:rPr>
          <w:t>http://www.jurisway.org.br/v2/dhall.asp?id_dh=1233</w:t>
        </w:r>
      </w:hyperlink>
      <w:r w:rsidRPr="00FD62A0">
        <w:rPr>
          <w:rFonts w:ascii="Arial" w:hAnsi="Arial" w:cs="Arial"/>
          <w:bCs/>
          <w:color w:val="000000"/>
          <w:sz w:val="20"/>
          <w:szCs w:val="20"/>
        </w:rPr>
        <w:t xml:space="preserve">. </w:t>
      </w:r>
    </w:p>
    <w:p w:rsidR="000F5293" w:rsidRPr="00FD62A0" w:rsidRDefault="000F5293" w:rsidP="000F5293">
      <w:pPr>
        <w:widowControl w:val="0"/>
        <w:tabs>
          <w:tab w:val="left" w:pos="0"/>
        </w:tabs>
        <w:autoSpaceDE w:val="0"/>
        <w:autoSpaceDN w:val="0"/>
        <w:adjustRightInd w:val="0"/>
        <w:spacing w:line="360" w:lineRule="auto"/>
        <w:jc w:val="both"/>
        <w:rPr>
          <w:rFonts w:ascii="Arial" w:hAnsi="Arial" w:cs="Arial"/>
          <w:i/>
          <w:color w:val="000000"/>
          <w:sz w:val="20"/>
          <w:szCs w:val="20"/>
        </w:rPr>
      </w:pPr>
      <w:r w:rsidRPr="00FD62A0">
        <w:rPr>
          <w:rFonts w:ascii="Arial" w:hAnsi="Arial" w:cs="Arial"/>
          <w:color w:val="000000"/>
          <w:sz w:val="20"/>
          <w:szCs w:val="20"/>
        </w:rPr>
        <w:t xml:space="preserve">Serviço Social do Comércio – SESC (2007). </w:t>
      </w:r>
      <w:r w:rsidRPr="00FD62A0">
        <w:rPr>
          <w:rFonts w:ascii="Arial" w:hAnsi="Arial" w:cs="Arial"/>
          <w:i/>
          <w:color w:val="000000"/>
          <w:sz w:val="20"/>
          <w:szCs w:val="20"/>
        </w:rPr>
        <w:t>Regulamento do SESC</w:t>
      </w:r>
    </w:p>
    <w:p w:rsidR="00D340AA" w:rsidRPr="00FD62A0" w:rsidRDefault="00D340AA" w:rsidP="000F5293">
      <w:pPr>
        <w:widowControl w:val="0"/>
        <w:tabs>
          <w:tab w:val="left" w:pos="0"/>
        </w:tabs>
        <w:autoSpaceDE w:val="0"/>
        <w:autoSpaceDN w:val="0"/>
        <w:adjustRightInd w:val="0"/>
        <w:spacing w:line="360" w:lineRule="auto"/>
        <w:jc w:val="both"/>
        <w:rPr>
          <w:rFonts w:ascii="Arial" w:hAnsi="Arial" w:cs="Arial"/>
          <w:color w:val="000000"/>
          <w:sz w:val="20"/>
          <w:szCs w:val="20"/>
        </w:rPr>
      </w:pPr>
      <w:r w:rsidRPr="00FD62A0">
        <w:rPr>
          <w:rFonts w:ascii="Arial" w:hAnsi="Arial" w:cs="Arial"/>
          <w:color w:val="000000"/>
          <w:sz w:val="20"/>
          <w:szCs w:val="20"/>
        </w:rPr>
        <w:t>Disponível em http://www.sesc.com.br/conselhofiscal/regulamento.html</w:t>
      </w:r>
    </w:p>
    <w:p w:rsidR="00180CE0" w:rsidRPr="00FD62A0" w:rsidRDefault="00180CE0" w:rsidP="00180CE0">
      <w:pPr>
        <w:spacing w:line="360" w:lineRule="auto"/>
        <w:ind w:left="426" w:hanging="426"/>
        <w:jc w:val="both"/>
        <w:rPr>
          <w:rFonts w:ascii="Arial" w:hAnsi="Arial" w:cs="Arial"/>
          <w:sz w:val="20"/>
          <w:szCs w:val="20"/>
        </w:rPr>
      </w:pPr>
      <w:r w:rsidRPr="00FD62A0">
        <w:rPr>
          <w:rFonts w:ascii="Arial" w:hAnsi="Arial" w:cs="Arial"/>
          <w:sz w:val="20"/>
          <w:szCs w:val="20"/>
        </w:rPr>
        <w:t>Unicef (2008) Situação Mundial da Infância 2009 – Saúde materna e neonatal</w:t>
      </w:r>
    </w:p>
    <w:p w:rsidR="00180CE0" w:rsidRPr="00FD62A0" w:rsidRDefault="00180CE0" w:rsidP="00180CE0">
      <w:pPr>
        <w:spacing w:line="360" w:lineRule="auto"/>
        <w:ind w:left="426" w:hanging="426"/>
        <w:jc w:val="both"/>
        <w:rPr>
          <w:rFonts w:ascii="Arial" w:hAnsi="Arial" w:cs="Arial"/>
          <w:sz w:val="20"/>
          <w:szCs w:val="20"/>
        </w:rPr>
      </w:pPr>
      <w:r w:rsidRPr="00FD62A0">
        <w:rPr>
          <w:rFonts w:ascii="Arial" w:hAnsi="Arial" w:cs="Arial"/>
          <w:sz w:val="20"/>
          <w:szCs w:val="20"/>
        </w:rPr>
        <w:t>Disponível em</w:t>
      </w:r>
    </w:p>
    <w:p w:rsidR="00180CE0" w:rsidRPr="00FD62A0" w:rsidRDefault="00180CE0" w:rsidP="00C17FD4">
      <w:pPr>
        <w:spacing w:line="360" w:lineRule="auto"/>
        <w:jc w:val="both"/>
        <w:rPr>
          <w:rFonts w:ascii="Arial" w:hAnsi="Arial" w:cs="Arial"/>
          <w:sz w:val="20"/>
          <w:szCs w:val="20"/>
        </w:rPr>
      </w:pPr>
      <w:r w:rsidRPr="00FD62A0">
        <w:rPr>
          <w:rFonts w:ascii="Arial" w:hAnsi="Arial" w:cs="Arial"/>
          <w:sz w:val="20"/>
          <w:szCs w:val="20"/>
        </w:rPr>
        <w:t>ftp://ftpcni.cni.org.br/conselhonacional/imprensa/situacao_mundial_da_infancia_2009%20UNICEF.pdf</w:t>
      </w:r>
    </w:p>
    <w:p w:rsidR="00173ED4" w:rsidRPr="00180CE0" w:rsidRDefault="00173ED4" w:rsidP="00BF4427">
      <w:pPr>
        <w:widowControl w:val="0"/>
        <w:tabs>
          <w:tab w:val="left" w:pos="0"/>
        </w:tabs>
        <w:autoSpaceDE w:val="0"/>
        <w:autoSpaceDN w:val="0"/>
        <w:adjustRightInd w:val="0"/>
        <w:spacing w:line="360" w:lineRule="auto"/>
        <w:jc w:val="both"/>
        <w:rPr>
          <w:rFonts w:ascii="Arial" w:hAnsi="Arial" w:cs="Arial"/>
          <w:color w:val="000000"/>
          <w:sz w:val="22"/>
          <w:szCs w:val="22"/>
          <w:lang/>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color w:val="000000"/>
          <w:sz w:val="22"/>
          <w:szCs w:val="22"/>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FD62A0" w:rsidRPr="00AC2D19" w:rsidRDefault="00FD62A0"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CD409D" w:rsidRPr="00AC2D19" w:rsidRDefault="00CD409D" w:rsidP="00BF4427">
      <w:pPr>
        <w:widowControl w:val="0"/>
        <w:tabs>
          <w:tab w:val="left" w:pos="0"/>
        </w:tabs>
        <w:autoSpaceDE w:val="0"/>
        <w:autoSpaceDN w:val="0"/>
        <w:adjustRightInd w:val="0"/>
        <w:spacing w:line="360" w:lineRule="auto"/>
        <w:jc w:val="both"/>
        <w:rPr>
          <w:rFonts w:ascii="Arial" w:hAnsi="Arial" w:cs="Arial"/>
          <w:sz w:val="22"/>
          <w:szCs w:val="22"/>
        </w:rPr>
      </w:pPr>
    </w:p>
    <w:p w:rsidR="00173ED4" w:rsidRPr="00AC2D19" w:rsidRDefault="00173ED4" w:rsidP="00BF4427">
      <w:pPr>
        <w:widowControl w:val="0"/>
        <w:tabs>
          <w:tab w:val="left" w:pos="0"/>
        </w:tabs>
        <w:autoSpaceDE w:val="0"/>
        <w:autoSpaceDN w:val="0"/>
        <w:adjustRightInd w:val="0"/>
        <w:spacing w:line="360" w:lineRule="auto"/>
        <w:jc w:val="both"/>
        <w:rPr>
          <w:rFonts w:ascii="Arial" w:hAnsi="Arial" w:cs="Arial"/>
          <w:sz w:val="22"/>
          <w:szCs w:val="22"/>
        </w:rPr>
      </w:pPr>
    </w:p>
    <w:p w:rsidR="001F43B7" w:rsidRDefault="001F43B7" w:rsidP="00BF4427">
      <w:pPr>
        <w:widowControl w:val="0"/>
        <w:tabs>
          <w:tab w:val="left" w:pos="0"/>
        </w:tabs>
        <w:autoSpaceDE w:val="0"/>
        <w:autoSpaceDN w:val="0"/>
        <w:adjustRightInd w:val="0"/>
        <w:spacing w:line="360" w:lineRule="auto"/>
        <w:jc w:val="both"/>
        <w:rPr>
          <w:rFonts w:ascii="Arial" w:hAnsi="Arial" w:cs="Arial"/>
          <w:sz w:val="22"/>
          <w:szCs w:val="22"/>
        </w:rPr>
      </w:pPr>
    </w:p>
    <w:p w:rsidR="00F77BA8" w:rsidRDefault="00F77BA8" w:rsidP="00BF4427">
      <w:pPr>
        <w:widowControl w:val="0"/>
        <w:tabs>
          <w:tab w:val="left" w:pos="0"/>
        </w:tabs>
        <w:autoSpaceDE w:val="0"/>
        <w:autoSpaceDN w:val="0"/>
        <w:adjustRightInd w:val="0"/>
        <w:spacing w:line="360" w:lineRule="auto"/>
        <w:jc w:val="both"/>
        <w:rPr>
          <w:rFonts w:ascii="Arial" w:hAnsi="Arial" w:cs="Arial"/>
          <w:sz w:val="22"/>
          <w:szCs w:val="22"/>
        </w:rPr>
      </w:pPr>
    </w:p>
    <w:p w:rsidR="004D4298" w:rsidRPr="00AC2D19" w:rsidRDefault="004C423A" w:rsidP="00BF4427">
      <w:pPr>
        <w:widowControl w:val="0"/>
        <w:tabs>
          <w:tab w:val="left" w:pos="0"/>
        </w:tabs>
        <w:autoSpaceDE w:val="0"/>
        <w:autoSpaceDN w:val="0"/>
        <w:adjustRightInd w:val="0"/>
        <w:spacing w:line="360" w:lineRule="auto"/>
        <w:jc w:val="both"/>
        <w:rPr>
          <w:rFonts w:ascii="Arial" w:hAnsi="Arial" w:cs="Arial"/>
          <w:b/>
          <w:sz w:val="22"/>
          <w:szCs w:val="22"/>
        </w:rPr>
      </w:pPr>
      <w:r w:rsidRPr="00AC2D19">
        <w:rPr>
          <w:rFonts w:ascii="Arial" w:hAnsi="Arial" w:cs="Arial"/>
          <w:b/>
          <w:sz w:val="22"/>
          <w:szCs w:val="22"/>
        </w:rPr>
        <w:lastRenderedPageBreak/>
        <w:t>BIBLIOGRAFIA</w:t>
      </w:r>
    </w:p>
    <w:p w:rsidR="00860531" w:rsidRPr="00AC2D19" w:rsidRDefault="00860531" w:rsidP="00BF4427">
      <w:pPr>
        <w:widowControl w:val="0"/>
        <w:tabs>
          <w:tab w:val="left" w:pos="0"/>
        </w:tabs>
        <w:autoSpaceDE w:val="0"/>
        <w:autoSpaceDN w:val="0"/>
        <w:adjustRightInd w:val="0"/>
        <w:spacing w:line="360" w:lineRule="auto"/>
        <w:jc w:val="both"/>
        <w:rPr>
          <w:rFonts w:ascii="Arial" w:hAnsi="Arial" w:cs="Arial"/>
          <w:sz w:val="22"/>
          <w:szCs w:val="22"/>
        </w:rPr>
      </w:pPr>
    </w:p>
    <w:p w:rsidR="008044EE" w:rsidRPr="009E4713" w:rsidRDefault="008044EE" w:rsidP="009E4713">
      <w:pPr>
        <w:spacing w:line="320" w:lineRule="exact"/>
        <w:ind w:left="426" w:hanging="426"/>
        <w:jc w:val="both"/>
        <w:rPr>
          <w:rFonts w:ascii="Arial" w:hAnsi="Arial" w:cs="Arial"/>
          <w:bCs/>
          <w:kern w:val="36"/>
          <w:sz w:val="20"/>
          <w:szCs w:val="20"/>
        </w:rPr>
      </w:pPr>
      <w:r w:rsidRPr="009E4713">
        <w:rPr>
          <w:rFonts w:ascii="Arial" w:hAnsi="Arial" w:cs="Arial"/>
          <w:sz w:val="20"/>
          <w:szCs w:val="20"/>
        </w:rPr>
        <w:t>Alberton, Mariza Silveira (2005)</w:t>
      </w:r>
      <w:r w:rsidR="00963925"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bCs/>
          <w:i/>
          <w:kern w:val="36"/>
          <w:sz w:val="20"/>
          <w:szCs w:val="20"/>
        </w:rPr>
        <w:t>Violação da infância: crimes abomináveis: humilham, machucam, torturam e matam!</w:t>
      </w:r>
      <w:r w:rsidRPr="009E4713">
        <w:rPr>
          <w:rFonts w:ascii="Arial" w:hAnsi="Arial" w:cs="Arial"/>
          <w:bCs/>
          <w:kern w:val="36"/>
          <w:sz w:val="20"/>
          <w:szCs w:val="20"/>
        </w:rPr>
        <w:t>; RS, Age editora</w:t>
      </w:r>
    </w:p>
    <w:p w:rsidR="004D4298" w:rsidRPr="009E4713" w:rsidRDefault="004D4298" w:rsidP="009E4713">
      <w:pPr>
        <w:widowControl w:val="0"/>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 xml:space="preserve">Alvarenga, </w:t>
      </w:r>
      <w:smartTag w:uri="urn:schemas-microsoft-com:office:smarttags" w:element="PersonName">
        <w:smartTagPr>
          <w:attr w:name="ProductID" w:val="Jos￩ Eduardo"/>
        </w:smartTagPr>
        <w:r w:rsidRPr="009E4713">
          <w:rPr>
            <w:rFonts w:ascii="Arial" w:hAnsi="Arial" w:cs="Arial"/>
            <w:sz w:val="20"/>
            <w:szCs w:val="20"/>
          </w:rPr>
          <w:t>José Eduardo</w:t>
        </w:r>
      </w:smartTag>
      <w:r w:rsidRPr="009E4713">
        <w:rPr>
          <w:rFonts w:ascii="Arial" w:hAnsi="Arial" w:cs="Arial"/>
          <w:sz w:val="20"/>
          <w:szCs w:val="20"/>
        </w:rPr>
        <w:t xml:space="preserve"> (2005). “Parcerias Público-Privadas: breves comentários.” </w:t>
      </w:r>
      <w:r w:rsidRPr="009E4713">
        <w:rPr>
          <w:rFonts w:ascii="Arial" w:hAnsi="Arial" w:cs="Arial"/>
          <w:i/>
          <w:sz w:val="20"/>
          <w:szCs w:val="20"/>
        </w:rPr>
        <w:t xml:space="preserve">Revista Eletrônica De Direito Administrativo Econômico </w:t>
      </w:r>
      <w:r w:rsidRPr="009E4713">
        <w:rPr>
          <w:rFonts w:ascii="Arial" w:hAnsi="Arial" w:cs="Arial"/>
          <w:sz w:val="20"/>
          <w:szCs w:val="20"/>
        </w:rPr>
        <w:t>(Online), 2</w:t>
      </w:r>
    </w:p>
    <w:p w:rsidR="004D4298" w:rsidRPr="009E4713" w:rsidRDefault="004D4298" w:rsidP="009E4713">
      <w:pPr>
        <w:widowControl w:val="0"/>
        <w:autoSpaceDE w:val="0"/>
        <w:autoSpaceDN w:val="0"/>
        <w:adjustRightInd w:val="0"/>
        <w:spacing w:line="320" w:lineRule="exact"/>
        <w:jc w:val="both"/>
        <w:rPr>
          <w:rFonts w:ascii="Arial" w:hAnsi="Arial" w:cs="Arial"/>
          <w:sz w:val="20"/>
          <w:szCs w:val="20"/>
        </w:rPr>
      </w:pPr>
      <w:r w:rsidRPr="009E4713">
        <w:rPr>
          <w:rFonts w:ascii="Arial" w:hAnsi="Arial" w:cs="Arial"/>
          <w:sz w:val="20"/>
          <w:szCs w:val="20"/>
        </w:rPr>
        <w:t xml:space="preserve">Disponível em </w:t>
      </w:r>
      <w:hyperlink r:id="rId41" w:history="1">
        <w:r w:rsidRPr="009E4713">
          <w:rPr>
            <w:rStyle w:val="Hyperlink"/>
            <w:rFonts w:ascii="Arial" w:hAnsi="Arial" w:cs="Arial"/>
            <w:color w:val="auto"/>
            <w:sz w:val="20"/>
            <w:szCs w:val="20"/>
            <w:u w:val="none"/>
          </w:rPr>
          <w:t>http://www.direitodoestado.com/revista/REDAE-2-MAIO-2005-JOSE%20ALVARENGA.pdf</w:t>
        </w:r>
      </w:hyperlink>
      <w:r w:rsidR="00CE3C93" w:rsidRPr="009E4713">
        <w:rPr>
          <w:rFonts w:ascii="Arial" w:hAnsi="Arial" w:cs="Arial"/>
          <w:sz w:val="20"/>
          <w:szCs w:val="20"/>
        </w:rPr>
        <w:t xml:space="preserve"> </w:t>
      </w:r>
    </w:p>
    <w:p w:rsidR="008044EE" w:rsidRPr="009E4713" w:rsidRDefault="00CE3C93" w:rsidP="009E4713">
      <w:pPr>
        <w:autoSpaceDE w:val="0"/>
        <w:autoSpaceDN w:val="0"/>
        <w:adjustRightInd w:val="0"/>
        <w:spacing w:line="320" w:lineRule="exact"/>
        <w:jc w:val="both"/>
        <w:rPr>
          <w:rFonts w:ascii="Arial" w:hAnsi="Arial" w:cs="Arial"/>
          <w:sz w:val="20"/>
          <w:szCs w:val="20"/>
        </w:rPr>
      </w:pPr>
      <w:r w:rsidRPr="009E4713">
        <w:rPr>
          <w:rFonts w:ascii="Arial" w:hAnsi="Arial" w:cs="Arial"/>
          <w:sz w:val="20"/>
          <w:szCs w:val="20"/>
        </w:rPr>
        <w:t>Secretaria Especial de Direitos Humanos</w:t>
      </w:r>
      <w:r w:rsidR="008044EE" w:rsidRPr="009E4713">
        <w:rPr>
          <w:rFonts w:ascii="Arial" w:hAnsi="Arial" w:cs="Arial"/>
          <w:sz w:val="20"/>
          <w:szCs w:val="20"/>
        </w:rPr>
        <w:t xml:space="preserve"> (</w:t>
      </w:r>
      <w:r w:rsidRPr="009E4713">
        <w:rPr>
          <w:rFonts w:ascii="Arial" w:hAnsi="Arial" w:cs="Arial"/>
          <w:sz w:val="20"/>
          <w:szCs w:val="20"/>
        </w:rPr>
        <w:t>2009),</w:t>
      </w:r>
      <w:r w:rsidR="008044EE" w:rsidRPr="009E4713">
        <w:rPr>
          <w:rFonts w:ascii="Arial" w:hAnsi="Arial" w:cs="Arial"/>
          <w:sz w:val="20"/>
          <w:szCs w:val="20"/>
        </w:rPr>
        <w:t xml:space="preserve"> </w:t>
      </w:r>
      <w:r w:rsidRPr="009E4713">
        <w:rPr>
          <w:rFonts w:ascii="Arial" w:hAnsi="Arial" w:cs="Arial"/>
          <w:i/>
          <w:sz w:val="20"/>
          <w:szCs w:val="20"/>
        </w:rPr>
        <w:t>C</w:t>
      </w:r>
      <w:r w:rsidR="008044EE" w:rsidRPr="009E4713">
        <w:rPr>
          <w:rFonts w:ascii="Arial" w:hAnsi="Arial" w:cs="Arial"/>
          <w:i/>
          <w:sz w:val="20"/>
          <w:szCs w:val="20"/>
        </w:rPr>
        <w:t>artilha disque 100</w:t>
      </w:r>
      <w:r w:rsidRPr="009E4713">
        <w:rPr>
          <w:rFonts w:ascii="Arial" w:hAnsi="Arial" w:cs="Arial"/>
          <w:sz w:val="20"/>
          <w:szCs w:val="20"/>
        </w:rPr>
        <w:t>,</w:t>
      </w:r>
      <w:r w:rsidR="008044EE" w:rsidRPr="009E4713">
        <w:rPr>
          <w:rFonts w:ascii="Arial" w:hAnsi="Arial" w:cs="Arial"/>
          <w:sz w:val="20"/>
          <w:szCs w:val="20"/>
        </w:rPr>
        <w:t xml:space="preserve"> </w:t>
      </w:r>
      <w:r w:rsidRPr="009E4713">
        <w:rPr>
          <w:rFonts w:ascii="Arial" w:hAnsi="Arial" w:cs="Arial"/>
          <w:sz w:val="20"/>
          <w:szCs w:val="20"/>
        </w:rPr>
        <w:t>Brasília</w:t>
      </w:r>
      <w:r w:rsidR="008044EE" w:rsidRPr="009E4713">
        <w:rPr>
          <w:rFonts w:ascii="Arial" w:hAnsi="Arial" w:cs="Arial"/>
          <w:sz w:val="20"/>
          <w:szCs w:val="20"/>
        </w:rPr>
        <w:t>; s.n.</w:t>
      </w:r>
    </w:p>
    <w:p w:rsidR="001E5FAB" w:rsidRPr="009E4713" w:rsidRDefault="001E5FAB" w:rsidP="009E4713">
      <w:pPr>
        <w:spacing w:line="320" w:lineRule="exact"/>
        <w:ind w:left="426" w:hanging="426"/>
        <w:jc w:val="both"/>
        <w:rPr>
          <w:rFonts w:ascii="Arial" w:hAnsi="Arial" w:cs="Arial"/>
          <w:sz w:val="20"/>
          <w:szCs w:val="20"/>
        </w:rPr>
      </w:pPr>
      <w:r w:rsidRPr="009E4713">
        <w:rPr>
          <w:rFonts w:ascii="Arial" w:hAnsi="Arial" w:cs="Arial"/>
          <w:sz w:val="20"/>
          <w:szCs w:val="20"/>
        </w:rPr>
        <w:t>Anon</w:t>
      </w:r>
      <w:r w:rsidR="008044EE" w:rsidRPr="009E4713">
        <w:rPr>
          <w:rFonts w:ascii="Arial" w:hAnsi="Arial" w:cs="Arial"/>
          <w:sz w:val="20"/>
          <w:szCs w:val="20"/>
        </w:rPr>
        <w:t xml:space="preserve"> (2008)</w:t>
      </w:r>
      <w:r w:rsidRPr="009E4713">
        <w:rPr>
          <w:rFonts w:ascii="Arial" w:hAnsi="Arial" w:cs="Arial"/>
          <w:sz w:val="20"/>
          <w:szCs w:val="20"/>
        </w:rPr>
        <w:t>,</w:t>
      </w:r>
      <w:r w:rsidR="008044EE" w:rsidRPr="009E4713">
        <w:rPr>
          <w:rFonts w:ascii="Arial" w:hAnsi="Arial" w:cs="Arial"/>
          <w:sz w:val="20"/>
          <w:szCs w:val="20"/>
        </w:rPr>
        <w:t xml:space="preserve"> “Congresso Mundial de Enfrentamento da Exploração Sexual” </w:t>
      </w:r>
      <w:r w:rsidR="008044EE" w:rsidRPr="009E4713">
        <w:rPr>
          <w:rFonts w:ascii="Arial" w:hAnsi="Arial" w:cs="Arial"/>
          <w:i/>
          <w:sz w:val="20"/>
          <w:szCs w:val="20"/>
        </w:rPr>
        <w:t>Uni</w:t>
      </w:r>
      <w:r w:rsidR="008044EE" w:rsidRPr="009E4713">
        <w:rPr>
          <w:rFonts w:ascii="Arial" w:hAnsi="Arial" w:cs="Arial"/>
          <w:sz w:val="20"/>
          <w:szCs w:val="20"/>
        </w:rPr>
        <w:t xml:space="preserve"> (Online) (13) </w:t>
      </w:r>
    </w:p>
    <w:p w:rsidR="008044EE" w:rsidRPr="009E4713" w:rsidRDefault="008044EE" w:rsidP="009E4713">
      <w:pPr>
        <w:spacing w:line="320" w:lineRule="exact"/>
        <w:jc w:val="both"/>
        <w:rPr>
          <w:rFonts w:ascii="Arial" w:hAnsi="Arial" w:cs="Arial"/>
          <w:sz w:val="20"/>
          <w:szCs w:val="20"/>
        </w:rPr>
      </w:pPr>
      <w:r w:rsidRPr="009E4713">
        <w:rPr>
          <w:rFonts w:ascii="Arial" w:hAnsi="Arial" w:cs="Arial"/>
          <w:sz w:val="20"/>
          <w:szCs w:val="20"/>
        </w:rPr>
        <w:t xml:space="preserve">Disponível em </w:t>
      </w:r>
      <w:hyperlink r:id="rId42" w:history="1">
        <w:r w:rsidRPr="009E4713">
          <w:rPr>
            <w:rStyle w:val="Hyperlink"/>
            <w:rFonts w:ascii="Arial" w:hAnsi="Arial" w:cs="Arial"/>
            <w:color w:val="auto"/>
            <w:sz w:val="20"/>
            <w:szCs w:val="20"/>
            <w:u w:val="none"/>
          </w:rPr>
          <w:t>http://www.unicef.org/brazil/pt/UNI13.pdf</w:t>
        </w:r>
      </w:hyperlink>
    </w:p>
    <w:p w:rsidR="008044EE" w:rsidRPr="009E4713" w:rsidRDefault="008044EE" w:rsidP="009E4713">
      <w:pPr>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i/>
          <w:iCs/>
          <w:sz w:val="20"/>
          <w:szCs w:val="20"/>
        </w:rPr>
        <w:t>Barbosa, Helia (1999)</w:t>
      </w:r>
      <w:r w:rsidR="001E5FAB" w:rsidRPr="009E4713">
        <w:rPr>
          <w:rFonts w:ascii="Arial" w:hAnsi="Arial" w:cs="Arial"/>
          <w:i/>
          <w:iCs/>
          <w:sz w:val="20"/>
          <w:szCs w:val="20"/>
        </w:rPr>
        <w:t>,</w:t>
      </w:r>
      <w:r w:rsidRPr="009E4713">
        <w:rPr>
          <w:rFonts w:ascii="Arial" w:hAnsi="Arial" w:cs="Arial"/>
          <w:i/>
          <w:iCs/>
          <w:sz w:val="20"/>
          <w:szCs w:val="20"/>
        </w:rPr>
        <w:t xml:space="preserve"> Adolescentes e a Maioridade Penal – Inimputabilidade</w:t>
      </w:r>
      <w:r w:rsidRPr="009E4713">
        <w:rPr>
          <w:rFonts w:ascii="Arial" w:hAnsi="Arial" w:cs="Arial"/>
          <w:sz w:val="20"/>
          <w:szCs w:val="20"/>
        </w:rPr>
        <w:t>. Bahia; Cedeca</w:t>
      </w:r>
    </w:p>
    <w:p w:rsidR="00F015E2" w:rsidRPr="009E4713" w:rsidRDefault="004D4298" w:rsidP="009E4713">
      <w:pPr>
        <w:widowControl w:val="0"/>
        <w:tabs>
          <w:tab w:val="left" w:pos="426"/>
        </w:tabs>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B</w:t>
      </w:r>
      <w:r w:rsidR="00F015E2" w:rsidRPr="009E4713">
        <w:rPr>
          <w:rFonts w:ascii="Arial" w:hAnsi="Arial" w:cs="Arial"/>
          <w:sz w:val="20"/>
          <w:szCs w:val="20"/>
        </w:rPr>
        <w:t>enevides, Maria Vitória. (2001)</w:t>
      </w:r>
      <w:r w:rsidR="001E5FAB" w:rsidRPr="009E4713">
        <w:rPr>
          <w:rFonts w:ascii="Arial" w:hAnsi="Arial" w:cs="Arial"/>
          <w:sz w:val="20"/>
          <w:szCs w:val="20"/>
        </w:rPr>
        <w:t>,</w:t>
      </w:r>
      <w:r w:rsidR="00F015E2" w:rsidRPr="009E4713">
        <w:rPr>
          <w:rFonts w:ascii="Arial" w:hAnsi="Arial" w:cs="Arial"/>
          <w:sz w:val="20"/>
          <w:szCs w:val="20"/>
        </w:rPr>
        <w:t xml:space="preserve"> </w:t>
      </w:r>
      <w:r w:rsidR="00EC4A30" w:rsidRPr="009E4713">
        <w:rPr>
          <w:rFonts w:ascii="Arial" w:hAnsi="Arial" w:cs="Arial"/>
          <w:sz w:val="20"/>
          <w:szCs w:val="20"/>
        </w:rPr>
        <w:t>“</w:t>
      </w:r>
      <w:r w:rsidRPr="009E4713">
        <w:rPr>
          <w:rFonts w:ascii="Arial" w:hAnsi="Arial" w:cs="Arial"/>
          <w:sz w:val="20"/>
          <w:szCs w:val="20"/>
        </w:rPr>
        <w:t>A questão social no Brasil – os direitos econô</w:t>
      </w:r>
      <w:r w:rsidR="00F478F9">
        <w:rPr>
          <w:rFonts w:ascii="Arial" w:hAnsi="Arial" w:cs="Arial"/>
          <w:sz w:val="20"/>
          <w:szCs w:val="20"/>
        </w:rPr>
        <w:t xml:space="preserve">micos e sociais </w:t>
      </w:r>
      <w:r w:rsidRPr="009E4713">
        <w:rPr>
          <w:rFonts w:ascii="Arial" w:hAnsi="Arial" w:cs="Arial"/>
          <w:sz w:val="20"/>
          <w:szCs w:val="20"/>
        </w:rPr>
        <w:t>como direitos fundamentais</w:t>
      </w:r>
      <w:r w:rsidR="00EC4A30" w:rsidRPr="009E4713">
        <w:rPr>
          <w:rFonts w:ascii="Arial" w:hAnsi="Arial" w:cs="Arial"/>
          <w:sz w:val="20"/>
          <w:szCs w:val="20"/>
        </w:rPr>
        <w:t>”</w:t>
      </w:r>
      <w:r w:rsidRPr="009E4713">
        <w:rPr>
          <w:rFonts w:ascii="Arial" w:hAnsi="Arial" w:cs="Arial"/>
          <w:sz w:val="20"/>
          <w:szCs w:val="20"/>
        </w:rPr>
        <w:t>.</w:t>
      </w:r>
      <w:r w:rsidR="00F015E2" w:rsidRPr="009E4713">
        <w:rPr>
          <w:rFonts w:ascii="Arial" w:hAnsi="Arial" w:cs="Arial"/>
          <w:sz w:val="20"/>
          <w:szCs w:val="20"/>
        </w:rPr>
        <w:t xml:space="preserve"> </w:t>
      </w:r>
      <w:r w:rsidR="00F015E2" w:rsidRPr="009E4713">
        <w:rPr>
          <w:rFonts w:ascii="Arial" w:hAnsi="Arial" w:cs="Arial"/>
          <w:i/>
          <w:sz w:val="20"/>
          <w:szCs w:val="20"/>
        </w:rPr>
        <w:t>Videtur Letras</w:t>
      </w:r>
      <w:r w:rsidR="00F015E2" w:rsidRPr="009E4713">
        <w:rPr>
          <w:rFonts w:ascii="Arial" w:hAnsi="Arial" w:cs="Arial"/>
          <w:sz w:val="20"/>
          <w:szCs w:val="20"/>
        </w:rPr>
        <w:t xml:space="preserve"> (Online), 3</w:t>
      </w:r>
    </w:p>
    <w:p w:rsidR="004D4298" w:rsidRPr="009E4713" w:rsidRDefault="004D4298" w:rsidP="009E4713">
      <w:pPr>
        <w:widowControl w:val="0"/>
        <w:tabs>
          <w:tab w:val="left" w:pos="0"/>
        </w:tabs>
        <w:autoSpaceDE w:val="0"/>
        <w:autoSpaceDN w:val="0"/>
        <w:adjustRightInd w:val="0"/>
        <w:spacing w:line="320" w:lineRule="exact"/>
        <w:rPr>
          <w:rFonts w:ascii="Arial" w:hAnsi="Arial" w:cs="Arial"/>
          <w:sz w:val="20"/>
          <w:szCs w:val="20"/>
        </w:rPr>
      </w:pPr>
      <w:r w:rsidRPr="009E4713">
        <w:rPr>
          <w:rFonts w:ascii="Arial" w:hAnsi="Arial" w:cs="Arial"/>
          <w:sz w:val="20"/>
          <w:szCs w:val="20"/>
        </w:rPr>
        <w:t xml:space="preserve"> Disponível em:  </w:t>
      </w:r>
      <w:hyperlink r:id="rId43" w:history="1">
        <w:r w:rsidRPr="009E4713">
          <w:rPr>
            <w:rStyle w:val="Hyperlink"/>
            <w:rFonts w:ascii="Arial" w:hAnsi="Arial" w:cs="Arial"/>
            <w:color w:val="auto"/>
            <w:sz w:val="20"/>
            <w:szCs w:val="20"/>
            <w:u w:val="none"/>
          </w:rPr>
          <w:t>http://64.233.163.132/</w:t>
        </w:r>
        <w:r w:rsidRPr="009E4713">
          <w:rPr>
            <w:rStyle w:val="Hyperlink"/>
            <w:rFonts w:ascii="Arial" w:hAnsi="Arial" w:cs="Arial"/>
            <w:color w:val="auto"/>
            <w:sz w:val="20"/>
            <w:szCs w:val="20"/>
            <w:u w:val="none"/>
          </w:rPr>
          <w:t>s</w:t>
        </w:r>
        <w:r w:rsidRPr="009E4713">
          <w:rPr>
            <w:rStyle w:val="Hyperlink"/>
            <w:rFonts w:ascii="Arial" w:hAnsi="Arial" w:cs="Arial"/>
            <w:color w:val="auto"/>
            <w:sz w:val="20"/>
            <w:szCs w:val="20"/>
            <w:u w:val="none"/>
          </w:rPr>
          <w:t>earch?q=cache:TGjWU9MnDMkJ:www.hottopos.com/vdletras3/vitoria.htm+direitos+sociais+no+brasil&amp;cd=3&amp;hl=pt-BR&amp;ct=clnk&amp;gl=br</w:t>
        </w:r>
      </w:hyperlink>
      <w:r w:rsidRPr="009E4713">
        <w:rPr>
          <w:rFonts w:ascii="Arial" w:hAnsi="Arial" w:cs="Arial"/>
          <w:sz w:val="20"/>
          <w:szCs w:val="20"/>
        </w:rPr>
        <w:t xml:space="preserve">  </w:t>
      </w:r>
    </w:p>
    <w:p w:rsidR="004E149F" w:rsidRPr="009E4713" w:rsidRDefault="004E149F" w:rsidP="009E4713">
      <w:pPr>
        <w:autoSpaceDE w:val="0"/>
        <w:autoSpaceDN w:val="0"/>
        <w:adjustRightInd w:val="0"/>
        <w:spacing w:line="320" w:lineRule="exact"/>
        <w:jc w:val="both"/>
        <w:rPr>
          <w:rFonts w:ascii="Arial" w:hAnsi="Arial" w:cs="Arial"/>
          <w:sz w:val="20"/>
          <w:szCs w:val="20"/>
        </w:rPr>
      </w:pPr>
      <w:r w:rsidRPr="009E4713">
        <w:rPr>
          <w:rFonts w:ascii="Arial" w:hAnsi="Arial" w:cs="Arial"/>
          <w:sz w:val="20"/>
          <w:szCs w:val="20"/>
        </w:rPr>
        <w:t xml:space="preserve">Bertero, Carlos Osmar (1985), </w:t>
      </w:r>
      <w:r w:rsidRPr="009E4713">
        <w:rPr>
          <w:rFonts w:ascii="Arial" w:hAnsi="Arial" w:cs="Arial"/>
          <w:i/>
          <w:iCs/>
          <w:sz w:val="20"/>
          <w:szCs w:val="20"/>
        </w:rPr>
        <w:t xml:space="preserve">Administração Pública e Administradores, </w:t>
      </w:r>
      <w:r w:rsidRPr="009E4713">
        <w:rPr>
          <w:rFonts w:ascii="Arial" w:hAnsi="Arial" w:cs="Arial"/>
          <w:sz w:val="20"/>
          <w:szCs w:val="20"/>
        </w:rPr>
        <w:t>Brasília, FUNCEP</w:t>
      </w:r>
    </w:p>
    <w:p w:rsidR="008C5163" w:rsidRPr="009E4713" w:rsidRDefault="008C5163" w:rsidP="009E4713">
      <w:pPr>
        <w:spacing w:line="320" w:lineRule="exact"/>
        <w:ind w:left="426" w:hanging="426"/>
        <w:jc w:val="both"/>
        <w:rPr>
          <w:rFonts w:ascii="Arial" w:hAnsi="Arial" w:cs="Arial"/>
          <w:sz w:val="20"/>
          <w:szCs w:val="20"/>
        </w:rPr>
      </w:pPr>
      <w:r w:rsidRPr="009E4713">
        <w:rPr>
          <w:rFonts w:ascii="Arial" w:hAnsi="Arial" w:cs="Arial"/>
          <w:sz w:val="20"/>
          <w:szCs w:val="20"/>
        </w:rPr>
        <w:t>BNDES (2002)</w:t>
      </w:r>
      <w:r w:rsidR="00173ED4"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i/>
          <w:sz w:val="20"/>
          <w:szCs w:val="20"/>
        </w:rPr>
        <w:t>Desenvolvimento Institucional e Articulação de Parcerias para o Desenvolvimento Local</w:t>
      </w:r>
      <w:r w:rsidR="00173ED4" w:rsidRPr="009E4713">
        <w:rPr>
          <w:rFonts w:ascii="Arial" w:hAnsi="Arial" w:cs="Arial"/>
          <w:i/>
          <w:sz w:val="20"/>
          <w:szCs w:val="20"/>
        </w:rPr>
        <w:t>,</w:t>
      </w:r>
      <w:r w:rsidRPr="009E4713">
        <w:rPr>
          <w:rFonts w:ascii="Arial" w:hAnsi="Arial" w:cs="Arial"/>
          <w:sz w:val="20"/>
          <w:szCs w:val="20"/>
        </w:rPr>
        <w:t xml:space="preserve"> Brasília, BNDES </w:t>
      </w:r>
    </w:p>
    <w:p w:rsidR="004D4298" w:rsidRPr="009E4713" w:rsidRDefault="004D4298" w:rsidP="009E4713">
      <w:pPr>
        <w:widowControl w:val="0"/>
        <w:tabs>
          <w:tab w:val="left" w:pos="426"/>
        </w:tabs>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Borges, Luiz  F., Cesar Neves (2005)</w:t>
      </w:r>
      <w:r w:rsidR="00173ED4" w:rsidRPr="009E4713">
        <w:rPr>
          <w:rFonts w:ascii="Arial" w:hAnsi="Arial" w:cs="Arial"/>
          <w:sz w:val="20"/>
          <w:szCs w:val="20"/>
        </w:rPr>
        <w:t>,</w:t>
      </w:r>
      <w:r w:rsidRPr="009E4713">
        <w:rPr>
          <w:rFonts w:ascii="Arial" w:hAnsi="Arial" w:cs="Arial"/>
          <w:sz w:val="20"/>
          <w:szCs w:val="20"/>
        </w:rPr>
        <w:t xml:space="preserve"> “Parceria público-privada: riscos e mitigação de riscos em operações estruturadas de infra-estrutura.”</w:t>
      </w:r>
      <w:r w:rsidR="00173ED4"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i/>
          <w:sz w:val="20"/>
          <w:szCs w:val="20"/>
        </w:rPr>
        <w:t>Revista do BNDES</w:t>
      </w:r>
      <w:r w:rsidR="00EC4A30" w:rsidRPr="009E4713">
        <w:rPr>
          <w:rFonts w:ascii="Arial" w:hAnsi="Arial" w:cs="Arial"/>
          <w:i/>
          <w:sz w:val="20"/>
          <w:szCs w:val="20"/>
        </w:rPr>
        <w:t xml:space="preserve"> </w:t>
      </w:r>
      <w:r w:rsidR="00EC4A30" w:rsidRPr="009E4713">
        <w:rPr>
          <w:rFonts w:ascii="Arial" w:hAnsi="Arial" w:cs="Arial"/>
          <w:sz w:val="20"/>
          <w:szCs w:val="20"/>
        </w:rPr>
        <w:t>(Online)</w:t>
      </w:r>
      <w:r w:rsidRPr="009E4713">
        <w:rPr>
          <w:rFonts w:ascii="Arial" w:hAnsi="Arial" w:cs="Arial"/>
          <w:sz w:val="20"/>
          <w:szCs w:val="20"/>
        </w:rPr>
        <w:t>,. 09</w:t>
      </w:r>
    </w:p>
    <w:p w:rsidR="00EC4A30" w:rsidRPr="009E4713" w:rsidRDefault="00EC4A30" w:rsidP="009E4713">
      <w:pPr>
        <w:widowControl w:val="0"/>
        <w:tabs>
          <w:tab w:val="left" w:pos="0"/>
        </w:tabs>
        <w:autoSpaceDE w:val="0"/>
        <w:autoSpaceDN w:val="0"/>
        <w:adjustRightInd w:val="0"/>
        <w:spacing w:line="320" w:lineRule="exact"/>
        <w:rPr>
          <w:rFonts w:ascii="Arial" w:hAnsi="Arial" w:cs="Arial"/>
          <w:sz w:val="20"/>
          <w:szCs w:val="20"/>
        </w:rPr>
      </w:pPr>
      <w:r w:rsidRPr="009E4713">
        <w:rPr>
          <w:rFonts w:ascii="Arial" w:hAnsi="Arial" w:cs="Arial"/>
          <w:sz w:val="20"/>
          <w:szCs w:val="20"/>
        </w:rPr>
        <w:t xml:space="preserve">Disponível em </w:t>
      </w:r>
      <w:hyperlink r:id="rId44" w:history="1">
        <w:r w:rsidRPr="009E4713">
          <w:rPr>
            <w:rStyle w:val="Hyperlink"/>
            <w:rFonts w:ascii="Arial" w:hAnsi="Arial" w:cs="Arial"/>
            <w:color w:val="auto"/>
            <w:sz w:val="20"/>
            <w:szCs w:val="20"/>
            <w:u w:val="none"/>
          </w:rPr>
          <w:t>http://www.bndes.gov.br/</w:t>
        </w:r>
        <w:r w:rsidRPr="009E4713">
          <w:rPr>
            <w:rStyle w:val="Hyperlink"/>
            <w:rFonts w:ascii="Arial" w:hAnsi="Arial" w:cs="Arial"/>
            <w:color w:val="auto"/>
            <w:sz w:val="20"/>
            <w:szCs w:val="20"/>
            <w:u w:val="none"/>
          </w:rPr>
          <w:t>S</w:t>
        </w:r>
        <w:r w:rsidRPr="009E4713">
          <w:rPr>
            <w:rStyle w:val="Hyperlink"/>
            <w:rFonts w:ascii="Arial" w:hAnsi="Arial" w:cs="Arial"/>
            <w:color w:val="auto"/>
            <w:sz w:val="20"/>
            <w:szCs w:val="20"/>
            <w:u w:val="none"/>
          </w:rPr>
          <w:t>iteBNDES/export/sites/default/bndes_pt/Galerias/Arquivos/conhecimento/revista/rev2305.pdf</w:t>
        </w:r>
      </w:hyperlink>
    </w:p>
    <w:p w:rsidR="00FD5324" w:rsidRPr="009E4713" w:rsidRDefault="00FD5324" w:rsidP="009E4713">
      <w:pPr>
        <w:autoSpaceDE w:val="0"/>
        <w:autoSpaceDN w:val="0"/>
        <w:adjustRightInd w:val="0"/>
        <w:spacing w:line="320" w:lineRule="exact"/>
        <w:ind w:left="426" w:hanging="426"/>
        <w:rPr>
          <w:rFonts w:ascii="Arial" w:hAnsi="Arial" w:cs="Arial"/>
          <w:sz w:val="20"/>
          <w:szCs w:val="20"/>
        </w:rPr>
      </w:pPr>
      <w:r w:rsidRPr="009E4713">
        <w:rPr>
          <w:rFonts w:ascii="Arial" w:hAnsi="Arial" w:cs="Arial"/>
          <w:sz w:val="20"/>
          <w:szCs w:val="20"/>
        </w:rPr>
        <w:t xml:space="preserve">Brancher, Leoberto Narciso (2000), "Organização e Gestão do Sistema de garantia de direitos da infância e da juventude", </w:t>
      </w:r>
      <w:smartTag w:uri="urn:schemas-microsoft-com:office:smarttags" w:element="PersonName">
        <w:smartTagPr>
          <w:attr w:name="ProductID" w:val="em Afonso Armando Konzen"/>
        </w:smartTagPr>
        <w:r w:rsidRPr="009E4713">
          <w:rPr>
            <w:rFonts w:ascii="Arial" w:hAnsi="Arial" w:cs="Arial"/>
            <w:sz w:val="20"/>
            <w:szCs w:val="20"/>
          </w:rPr>
          <w:t>em Afonso Armando Konzen</w:t>
        </w:r>
      </w:smartTag>
      <w:r w:rsidRPr="009E4713">
        <w:rPr>
          <w:rFonts w:ascii="Arial" w:hAnsi="Arial" w:cs="Arial"/>
          <w:i/>
          <w:sz w:val="20"/>
          <w:szCs w:val="20"/>
        </w:rPr>
        <w:t xml:space="preserve"> et al</w:t>
      </w:r>
      <w:r w:rsidR="00860531" w:rsidRPr="009E4713">
        <w:rPr>
          <w:rFonts w:ascii="Arial" w:hAnsi="Arial" w:cs="Arial"/>
          <w:i/>
          <w:sz w:val="20"/>
          <w:szCs w:val="20"/>
        </w:rPr>
        <w:t xml:space="preserve"> (orgs)</w:t>
      </w:r>
      <w:r w:rsidRPr="009E4713">
        <w:rPr>
          <w:rFonts w:ascii="Arial" w:hAnsi="Arial" w:cs="Arial"/>
          <w:sz w:val="20"/>
          <w:szCs w:val="20"/>
        </w:rPr>
        <w:t xml:space="preserve">, </w:t>
      </w:r>
      <w:r w:rsidRPr="009E4713">
        <w:rPr>
          <w:rFonts w:ascii="Arial" w:hAnsi="Arial" w:cs="Arial"/>
          <w:i/>
          <w:sz w:val="20"/>
          <w:szCs w:val="20"/>
        </w:rPr>
        <w:t>Pela Justiça na Educação</w:t>
      </w:r>
      <w:r w:rsidRPr="009E4713">
        <w:rPr>
          <w:rFonts w:ascii="Arial" w:hAnsi="Arial" w:cs="Arial"/>
          <w:sz w:val="20"/>
          <w:szCs w:val="20"/>
        </w:rPr>
        <w:t>, Brasília, MEC/;FUNDESCOLA</w:t>
      </w:r>
    </w:p>
    <w:p w:rsidR="008044EE" w:rsidRPr="009E4713" w:rsidRDefault="008044EE" w:rsidP="009E4713">
      <w:pPr>
        <w:autoSpaceDE w:val="0"/>
        <w:autoSpaceDN w:val="0"/>
        <w:adjustRightInd w:val="0"/>
        <w:spacing w:line="320" w:lineRule="exact"/>
        <w:jc w:val="both"/>
        <w:rPr>
          <w:rFonts w:ascii="Arial" w:hAnsi="Arial" w:cs="Arial"/>
          <w:sz w:val="20"/>
          <w:szCs w:val="20"/>
        </w:rPr>
      </w:pPr>
      <w:r w:rsidRPr="009E4713">
        <w:rPr>
          <w:rFonts w:ascii="Arial" w:hAnsi="Arial" w:cs="Arial"/>
          <w:sz w:val="20"/>
          <w:szCs w:val="20"/>
        </w:rPr>
        <w:t>Cedeca (1995)</w:t>
      </w:r>
      <w:r w:rsidR="008F5554"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i/>
          <w:iCs/>
          <w:sz w:val="20"/>
          <w:szCs w:val="20"/>
        </w:rPr>
        <w:t>Oficina intervenções Jurídicas e Administrativas.</w:t>
      </w:r>
      <w:r w:rsidRPr="009E4713">
        <w:rPr>
          <w:rFonts w:ascii="Arial" w:hAnsi="Arial" w:cs="Arial"/>
          <w:sz w:val="20"/>
          <w:szCs w:val="20"/>
        </w:rPr>
        <w:t xml:space="preserve"> Salvador, Cedeca.</w:t>
      </w:r>
    </w:p>
    <w:p w:rsidR="008044EE" w:rsidRPr="009E4713" w:rsidRDefault="008044EE" w:rsidP="009E4713">
      <w:pPr>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iCs/>
          <w:sz w:val="20"/>
          <w:szCs w:val="20"/>
        </w:rPr>
        <w:t>Comitê Nacional de Enfrentamento à violência sexual contra crianças e adolescentes; (2007)</w:t>
      </w:r>
      <w:r w:rsidRPr="009E4713">
        <w:rPr>
          <w:rFonts w:ascii="Arial" w:hAnsi="Arial" w:cs="Arial"/>
          <w:i/>
          <w:iCs/>
          <w:sz w:val="20"/>
          <w:szCs w:val="20"/>
        </w:rPr>
        <w:t xml:space="preserve"> Plano Nacional de Enfrentamento da Violência Sexual </w:t>
      </w:r>
      <w:r w:rsidR="00A85E06">
        <w:rPr>
          <w:rFonts w:ascii="Arial" w:hAnsi="Arial" w:cs="Arial"/>
          <w:i/>
          <w:iCs/>
          <w:sz w:val="20"/>
          <w:szCs w:val="20"/>
        </w:rPr>
        <w:t>Infantojuvenil</w:t>
      </w:r>
      <w:r w:rsidRPr="009E4713">
        <w:rPr>
          <w:rFonts w:ascii="Arial" w:hAnsi="Arial" w:cs="Arial"/>
          <w:i/>
          <w:iCs/>
          <w:sz w:val="20"/>
          <w:szCs w:val="20"/>
        </w:rPr>
        <w:t xml:space="preserve">: Uma Política </w:t>
      </w:r>
      <w:smartTag w:uri="urn:schemas-microsoft-com:office:smarttags" w:element="PersonName">
        <w:smartTagPr>
          <w:attr w:name="ProductID" w:val="em Movimento Bras￭lia"/>
        </w:smartTagPr>
        <w:r w:rsidRPr="009E4713">
          <w:rPr>
            <w:rFonts w:ascii="Arial" w:hAnsi="Arial" w:cs="Arial"/>
            <w:i/>
            <w:iCs/>
            <w:sz w:val="20"/>
            <w:szCs w:val="20"/>
          </w:rPr>
          <w:t xml:space="preserve">em Movimento </w:t>
        </w:r>
        <w:r w:rsidRPr="009E4713">
          <w:rPr>
            <w:rFonts w:ascii="Arial" w:hAnsi="Arial" w:cs="Arial"/>
            <w:iCs/>
            <w:sz w:val="20"/>
            <w:szCs w:val="20"/>
          </w:rPr>
          <w:t>Brasília</w:t>
        </w:r>
      </w:smartTag>
      <w:r w:rsidRPr="009E4713">
        <w:rPr>
          <w:rFonts w:ascii="Arial" w:hAnsi="Arial" w:cs="Arial"/>
          <w:iCs/>
          <w:sz w:val="20"/>
          <w:szCs w:val="20"/>
        </w:rPr>
        <w:t>, s.n.</w:t>
      </w:r>
    </w:p>
    <w:p w:rsidR="004D4298" w:rsidRPr="009E4713" w:rsidRDefault="004D4298" w:rsidP="009E4713">
      <w:pPr>
        <w:widowControl w:val="0"/>
        <w:tabs>
          <w:tab w:val="left" w:pos="426"/>
        </w:tabs>
        <w:autoSpaceDE w:val="0"/>
        <w:autoSpaceDN w:val="0"/>
        <w:adjustRightInd w:val="0"/>
        <w:spacing w:line="320" w:lineRule="exact"/>
        <w:ind w:left="426" w:hanging="426"/>
        <w:jc w:val="both"/>
        <w:rPr>
          <w:rFonts w:ascii="Arial" w:hAnsi="Arial" w:cs="Arial"/>
          <w:sz w:val="20"/>
          <w:szCs w:val="20"/>
          <w:lang w:val="en-US"/>
        </w:rPr>
      </w:pPr>
      <w:r w:rsidRPr="009E4713">
        <w:rPr>
          <w:rFonts w:ascii="Arial" w:hAnsi="Arial" w:cs="Arial"/>
          <w:sz w:val="20"/>
          <w:szCs w:val="20"/>
        </w:rPr>
        <w:t>CNI (2006)</w:t>
      </w:r>
      <w:r w:rsidR="00982CFE" w:rsidRPr="009E4713">
        <w:rPr>
          <w:rFonts w:ascii="Arial" w:hAnsi="Arial" w:cs="Arial"/>
          <w:sz w:val="20"/>
          <w:szCs w:val="20"/>
        </w:rPr>
        <w:t>,. "</w:t>
      </w:r>
      <w:r w:rsidRPr="009E4713">
        <w:rPr>
          <w:rFonts w:ascii="Arial" w:hAnsi="Arial" w:cs="Arial"/>
          <w:sz w:val="20"/>
          <w:szCs w:val="20"/>
        </w:rPr>
        <w:t>Plano estratégico do sistema indústria 2006-</w:t>
      </w:r>
      <w:smartTag w:uri="urn:schemas-microsoft-com:office:smarttags" w:element="metricconverter">
        <w:smartTagPr>
          <w:attr w:name="ProductID" w:val="2010”"/>
        </w:smartTagPr>
        <w:r w:rsidRPr="009E4713">
          <w:rPr>
            <w:rFonts w:ascii="Arial" w:hAnsi="Arial" w:cs="Arial"/>
            <w:sz w:val="20"/>
            <w:szCs w:val="20"/>
          </w:rPr>
          <w:t>2010”</w:t>
        </w:r>
      </w:smartTag>
      <w:r w:rsidRPr="009E4713">
        <w:rPr>
          <w:rFonts w:ascii="Arial" w:hAnsi="Arial" w:cs="Arial"/>
          <w:sz w:val="20"/>
          <w:szCs w:val="20"/>
        </w:rPr>
        <w:t xml:space="preserve">. </w:t>
      </w:r>
      <w:r w:rsidR="006565F1" w:rsidRPr="009E4713">
        <w:rPr>
          <w:rFonts w:ascii="Arial" w:hAnsi="Arial" w:cs="Arial"/>
          <w:i/>
          <w:sz w:val="20"/>
          <w:szCs w:val="20"/>
          <w:lang w:val="en-US"/>
        </w:rPr>
        <w:t>Sistema Indústria</w:t>
      </w:r>
      <w:r w:rsidR="006565F1" w:rsidRPr="009E4713">
        <w:rPr>
          <w:rFonts w:ascii="Arial" w:hAnsi="Arial" w:cs="Arial"/>
          <w:sz w:val="20"/>
          <w:szCs w:val="20"/>
          <w:lang w:val="en-US"/>
        </w:rPr>
        <w:t xml:space="preserve">. </w:t>
      </w:r>
      <w:r w:rsidRPr="009E4713">
        <w:rPr>
          <w:rFonts w:ascii="Arial" w:hAnsi="Arial" w:cs="Arial"/>
          <w:sz w:val="20"/>
          <w:szCs w:val="20"/>
          <w:lang w:val="en-US"/>
        </w:rPr>
        <w:t>Brasília. CNI</w:t>
      </w:r>
    </w:p>
    <w:p w:rsidR="0076112F" w:rsidRPr="00727228" w:rsidRDefault="0076112F" w:rsidP="009E4713">
      <w:pPr>
        <w:spacing w:line="320" w:lineRule="exact"/>
        <w:ind w:left="426" w:hanging="426"/>
        <w:jc w:val="both"/>
        <w:rPr>
          <w:rFonts w:ascii="Arial" w:hAnsi="Arial" w:cs="Arial"/>
          <w:sz w:val="20"/>
          <w:szCs w:val="20"/>
          <w:lang w:val="en-US"/>
        </w:rPr>
      </w:pPr>
      <w:r w:rsidRPr="00727228">
        <w:rPr>
          <w:rFonts w:ascii="Arial" w:hAnsi="Arial" w:cs="Arial"/>
          <w:sz w:val="20"/>
          <w:szCs w:val="20"/>
          <w:lang w:val="en-US"/>
        </w:rPr>
        <w:t>Denhardt Robert B. e Janet V. Denhardt (200</w:t>
      </w:r>
      <w:r w:rsidR="009A764C" w:rsidRPr="00727228">
        <w:rPr>
          <w:rFonts w:ascii="Arial" w:hAnsi="Arial" w:cs="Arial"/>
          <w:sz w:val="20"/>
          <w:szCs w:val="20"/>
          <w:lang w:val="en-US"/>
        </w:rPr>
        <w:t>2</w:t>
      </w:r>
      <w:r w:rsidRPr="00727228">
        <w:rPr>
          <w:rFonts w:ascii="Arial" w:hAnsi="Arial" w:cs="Arial"/>
          <w:sz w:val="20"/>
          <w:szCs w:val="20"/>
          <w:lang w:val="en-US"/>
        </w:rPr>
        <w:t xml:space="preserve">), “The New Public Service: An Approach to Reform,” </w:t>
      </w:r>
      <w:r w:rsidRPr="00727228">
        <w:rPr>
          <w:rFonts w:ascii="Arial" w:hAnsi="Arial" w:cs="Arial"/>
          <w:i/>
          <w:sz w:val="20"/>
          <w:szCs w:val="20"/>
          <w:lang w:val="en-US"/>
        </w:rPr>
        <w:t>International Review of Public Administration</w:t>
      </w:r>
      <w:r w:rsidRPr="00727228">
        <w:rPr>
          <w:rFonts w:ascii="Arial" w:hAnsi="Arial" w:cs="Arial"/>
          <w:sz w:val="20"/>
          <w:szCs w:val="20"/>
          <w:lang w:val="en-US"/>
        </w:rPr>
        <w:t xml:space="preserve">, 08. </w:t>
      </w:r>
    </w:p>
    <w:p w:rsidR="00727228" w:rsidRPr="00727228" w:rsidRDefault="00727228" w:rsidP="00727228">
      <w:pPr>
        <w:autoSpaceDE w:val="0"/>
        <w:autoSpaceDN w:val="0"/>
        <w:adjustRightInd w:val="0"/>
        <w:spacing w:line="360" w:lineRule="auto"/>
        <w:ind w:left="426" w:hanging="426"/>
        <w:jc w:val="both"/>
        <w:rPr>
          <w:rFonts w:ascii="Arial" w:hAnsi="Arial" w:cs="Arial"/>
          <w:sz w:val="20"/>
          <w:szCs w:val="20"/>
        </w:rPr>
      </w:pPr>
      <w:r w:rsidRPr="00727228">
        <w:rPr>
          <w:rStyle w:val="Forte"/>
          <w:rFonts w:ascii="Arial" w:hAnsi="Arial" w:cs="Arial"/>
          <w:b w:val="0"/>
          <w:sz w:val="20"/>
          <w:szCs w:val="20"/>
        </w:rPr>
        <w:t>Diógenes, Glória (2010), ViraVida</w:t>
      </w:r>
      <w:r w:rsidRPr="00727228">
        <w:rPr>
          <w:rStyle w:val="Forte"/>
          <w:rFonts w:ascii="Arial" w:hAnsi="Arial" w:cs="Arial"/>
          <w:sz w:val="20"/>
          <w:szCs w:val="20"/>
        </w:rPr>
        <w:t xml:space="preserve"> </w:t>
      </w:r>
      <w:r w:rsidRPr="00727228">
        <w:rPr>
          <w:rFonts w:ascii="Arial" w:hAnsi="Arial" w:cs="Arial"/>
          <w:sz w:val="20"/>
          <w:szCs w:val="20"/>
        </w:rPr>
        <w:t>Uma virada na vida de meninos e meninas do Brasil, Brasília, Sesi</w:t>
      </w:r>
    </w:p>
    <w:p w:rsidR="004E149F" w:rsidRPr="009E4713" w:rsidRDefault="008E6638" w:rsidP="009E4713">
      <w:pPr>
        <w:autoSpaceDE w:val="0"/>
        <w:autoSpaceDN w:val="0"/>
        <w:adjustRightInd w:val="0"/>
        <w:spacing w:line="320" w:lineRule="exact"/>
        <w:ind w:left="426" w:hanging="426"/>
        <w:jc w:val="both"/>
        <w:rPr>
          <w:rFonts w:ascii="Arial" w:hAnsi="Arial" w:cs="Arial"/>
          <w:sz w:val="20"/>
          <w:szCs w:val="20"/>
          <w:lang w:val="en-US"/>
        </w:rPr>
      </w:pPr>
      <w:r w:rsidRPr="009E4713">
        <w:rPr>
          <w:rFonts w:ascii="Arial" w:hAnsi="Arial" w:cs="Arial"/>
          <w:sz w:val="20"/>
          <w:szCs w:val="20"/>
          <w:lang w:val="en-US"/>
        </w:rPr>
        <w:t>Esping-Andersen</w:t>
      </w:r>
      <w:r w:rsidR="004E149F" w:rsidRPr="009E4713">
        <w:rPr>
          <w:rFonts w:ascii="Arial" w:hAnsi="Arial" w:cs="Arial"/>
          <w:sz w:val="20"/>
          <w:szCs w:val="20"/>
          <w:lang w:val="en-US"/>
        </w:rPr>
        <w:t xml:space="preserve">, Gosta, </w:t>
      </w:r>
      <w:r w:rsidR="007D32E5" w:rsidRPr="009E4713">
        <w:rPr>
          <w:rFonts w:ascii="Arial" w:hAnsi="Arial" w:cs="Arial"/>
          <w:i/>
          <w:sz w:val="20"/>
          <w:szCs w:val="20"/>
          <w:lang w:val="en-US"/>
        </w:rPr>
        <w:t>et al</w:t>
      </w:r>
      <w:r w:rsidR="004E149F" w:rsidRPr="009E4713">
        <w:rPr>
          <w:rFonts w:ascii="Arial" w:hAnsi="Arial" w:cs="Arial"/>
          <w:sz w:val="20"/>
          <w:szCs w:val="20"/>
          <w:lang w:val="en-US"/>
        </w:rPr>
        <w:t xml:space="preserve"> </w:t>
      </w:r>
      <w:r w:rsidR="00860531" w:rsidRPr="009E4713">
        <w:rPr>
          <w:rFonts w:ascii="Arial" w:hAnsi="Arial" w:cs="Arial"/>
          <w:sz w:val="20"/>
          <w:szCs w:val="20"/>
          <w:lang w:val="en-US"/>
        </w:rPr>
        <w:t xml:space="preserve">(orgs) </w:t>
      </w:r>
      <w:r w:rsidR="004E149F" w:rsidRPr="009E4713">
        <w:rPr>
          <w:rFonts w:ascii="Arial" w:hAnsi="Arial" w:cs="Arial"/>
          <w:sz w:val="20"/>
          <w:szCs w:val="20"/>
          <w:lang w:val="en-US"/>
        </w:rPr>
        <w:t xml:space="preserve">(2002), </w:t>
      </w:r>
      <w:r w:rsidR="004E149F" w:rsidRPr="009E4713">
        <w:rPr>
          <w:rFonts w:ascii="Arial" w:hAnsi="Arial" w:cs="Arial"/>
          <w:i/>
          <w:iCs/>
          <w:sz w:val="20"/>
          <w:szCs w:val="20"/>
          <w:lang w:val="en-US"/>
        </w:rPr>
        <w:t>Why we need a new welfare state,</w:t>
      </w:r>
      <w:r w:rsidR="004E149F" w:rsidRPr="009E4713">
        <w:rPr>
          <w:rFonts w:ascii="Arial" w:hAnsi="Arial" w:cs="Arial"/>
          <w:sz w:val="20"/>
          <w:szCs w:val="20"/>
          <w:lang w:val="en-US"/>
        </w:rPr>
        <w:t xml:space="preserve"> Nova Iorque, Oxford University Press</w:t>
      </w:r>
      <w:r w:rsidRPr="009E4713">
        <w:rPr>
          <w:rFonts w:ascii="Arial" w:hAnsi="Arial" w:cs="Arial"/>
          <w:sz w:val="20"/>
          <w:szCs w:val="20"/>
          <w:lang w:val="en-US"/>
        </w:rPr>
        <w:t>.</w:t>
      </w:r>
    </w:p>
    <w:p w:rsidR="008044EE" w:rsidRPr="009E4713" w:rsidRDefault="009F466A" w:rsidP="009E4713">
      <w:pPr>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Faleiros, Vicente de Paula</w:t>
      </w:r>
      <w:r w:rsidR="00766550" w:rsidRPr="009E4713">
        <w:rPr>
          <w:rFonts w:ascii="Arial" w:hAnsi="Arial" w:cs="Arial"/>
          <w:sz w:val="20"/>
          <w:szCs w:val="20"/>
        </w:rPr>
        <w:t xml:space="preserve">. </w:t>
      </w:r>
      <w:r w:rsidR="00766550" w:rsidRPr="009E4713">
        <w:rPr>
          <w:rFonts w:ascii="Arial" w:hAnsi="Arial" w:cs="Arial"/>
          <w:i/>
          <w:sz w:val="20"/>
          <w:szCs w:val="20"/>
        </w:rPr>
        <w:t>et al</w:t>
      </w:r>
      <w:r w:rsidR="008044EE" w:rsidRPr="009E4713">
        <w:rPr>
          <w:rFonts w:ascii="Arial" w:hAnsi="Arial" w:cs="Arial"/>
          <w:sz w:val="20"/>
          <w:szCs w:val="20"/>
        </w:rPr>
        <w:t xml:space="preserve">. </w:t>
      </w:r>
      <w:r w:rsidR="00860531" w:rsidRPr="009E4713">
        <w:rPr>
          <w:rFonts w:ascii="Arial" w:hAnsi="Arial" w:cs="Arial"/>
          <w:sz w:val="20"/>
          <w:szCs w:val="20"/>
        </w:rPr>
        <w:t xml:space="preserve">(orgs) </w:t>
      </w:r>
      <w:r w:rsidR="008044EE" w:rsidRPr="009E4713">
        <w:rPr>
          <w:rFonts w:ascii="Arial" w:hAnsi="Arial" w:cs="Arial"/>
          <w:sz w:val="20"/>
          <w:szCs w:val="20"/>
        </w:rPr>
        <w:t>(1997)</w:t>
      </w:r>
      <w:r w:rsidR="00766550" w:rsidRPr="009E4713">
        <w:rPr>
          <w:rFonts w:ascii="Arial" w:hAnsi="Arial" w:cs="Arial"/>
          <w:sz w:val="20"/>
          <w:szCs w:val="20"/>
        </w:rPr>
        <w:t xml:space="preserve">, </w:t>
      </w:r>
      <w:r w:rsidR="008044EE" w:rsidRPr="009E4713">
        <w:rPr>
          <w:rFonts w:ascii="Arial" w:hAnsi="Arial" w:cs="Arial"/>
          <w:i/>
          <w:iCs/>
          <w:sz w:val="20"/>
          <w:szCs w:val="20"/>
        </w:rPr>
        <w:t>Fundamentos e Políticas contra a Exploração Sexual de Crianças e Adolescentes</w:t>
      </w:r>
      <w:r w:rsidR="00766550" w:rsidRPr="009E4713">
        <w:rPr>
          <w:rFonts w:ascii="Arial" w:hAnsi="Arial" w:cs="Arial"/>
          <w:sz w:val="20"/>
          <w:szCs w:val="20"/>
        </w:rPr>
        <w:t>,</w:t>
      </w:r>
      <w:r w:rsidR="008044EE" w:rsidRPr="009E4713">
        <w:rPr>
          <w:rFonts w:ascii="Arial" w:hAnsi="Arial" w:cs="Arial"/>
          <w:sz w:val="20"/>
          <w:szCs w:val="20"/>
        </w:rPr>
        <w:t xml:space="preserve"> Brasília, CECRIA.</w:t>
      </w:r>
    </w:p>
    <w:p w:rsidR="004E149F" w:rsidRPr="009E4713" w:rsidRDefault="008E6638" w:rsidP="009E4713">
      <w:pPr>
        <w:pStyle w:val="NormalWeb"/>
        <w:spacing w:before="0" w:beforeAutospacing="0" w:after="0" w:afterAutospacing="0" w:line="320" w:lineRule="exact"/>
        <w:ind w:left="426" w:hanging="426"/>
        <w:jc w:val="both"/>
        <w:rPr>
          <w:rFonts w:ascii="Arial" w:hAnsi="Arial" w:cs="Arial"/>
          <w:sz w:val="20"/>
          <w:szCs w:val="20"/>
        </w:rPr>
      </w:pPr>
      <w:r w:rsidRPr="009E4713">
        <w:rPr>
          <w:rFonts w:ascii="Arial" w:hAnsi="Arial" w:cs="Arial"/>
          <w:sz w:val="20"/>
          <w:szCs w:val="20"/>
        </w:rPr>
        <w:t>Faleiros</w:t>
      </w:r>
      <w:r w:rsidR="00177B1F" w:rsidRPr="009E4713">
        <w:rPr>
          <w:rFonts w:ascii="Arial" w:hAnsi="Arial" w:cs="Arial"/>
          <w:sz w:val="20"/>
          <w:szCs w:val="20"/>
        </w:rPr>
        <w:t>, Vicente de Paula. (1998)</w:t>
      </w:r>
      <w:r w:rsidR="00766550" w:rsidRPr="009E4713">
        <w:rPr>
          <w:rFonts w:ascii="Arial" w:hAnsi="Arial" w:cs="Arial"/>
          <w:sz w:val="20"/>
          <w:szCs w:val="20"/>
        </w:rPr>
        <w:t>,</w:t>
      </w:r>
      <w:r w:rsidR="004E149F" w:rsidRPr="009E4713">
        <w:rPr>
          <w:rFonts w:ascii="Arial" w:hAnsi="Arial" w:cs="Arial"/>
          <w:sz w:val="20"/>
          <w:szCs w:val="20"/>
        </w:rPr>
        <w:t xml:space="preserve"> </w:t>
      </w:r>
      <w:r w:rsidR="004E149F" w:rsidRPr="009E4713">
        <w:rPr>
          <w:rFonts w:ascii="Arial" w:hAnsi="Arial" w:cs="Arial"/>
          <w:i/>
          <w:iCs/>
          <w:sz w:val="20"/>
          <w:szCs w:val="20"/>
        </w:rPr>
        <w:t xml:space="preserve">A violência sexual contra crianças e adolescentes </w:t>
      </w:r>
      <w:r w:rsidR="00177B1F" w:rsidRPr="009E4713">
        <w:rPr>
          <w:rFonts w:ascii="Arial" w:hAnsi="Arial" w:cs="Arial"/>
          <w:i/>
          <w:iCs/>
          <w:sz w:val="20"/>
          <w:szCs w:val="20"/>
        </w:rPr>
        <w:t>e a construção de indicadores:</w:t>
      </w:r>
      <w:r w:rsidR="004E149F" w:rsidRPr="009E4713">
        <w:rPr>
          <w:rFonts w:ascii="Arial" w:hAnsi="Arial" w:cs="Arial"/>
          <w:i/>
          <w:iCs/>
          <w:sz w:val="20"/>
          <w:szCs w:val="20"/>
        </w:rPr>
        <w:t xml:space="preserve"> a crítica do poder, da desigualdade e do imaginário</w:t>
      </w:r>
      <w:r w:rsidR="00766550" w:rsidRPr="009E4713">
        <w:rPr>
          <w:rFonts w:ascii="Arial" w:hAnsi="Arial" w:cs="Arial"/>
          <w:i/>
          <w:iCs/>
          <w:sz w:val="20"/>
          <w:szCs w:val="20"/>
        </w:rPr>
        <w:t>,</w:t>
      </w:r>
      <w:r w:rsidR="004E149F" w:rsidRPr="009E4713">
        <w:rPr>
          <w:rFonts w:ascii="Arial" w:hAnsi="Arial" w:cs="Arial"/>
          <w:i/>
          <w:iCs/>
          <w:sz w:val="20"/>
          <w:szCs w:val="20"/>
        </w:rPr>
        <w:t xml:space="preserve"> </w:t>
      </w:r>
      <w:r w:rsidR="004E149F" w:rsidRPr="009E4713">
        <w:rPr>
          <w:rFonts w:ascii="Arial" w:hAnsi="Arial" w:cs="Arial"/>
          <w:sz w:val="20"/>
          <w:szCs w:val="20"/>
        </w:rPr>
        <w:t>Brasília, CECRIA.</w:t>
      </w:r>
    </w:p>
    <w:p w:rsidR="004E149F" w:rsidRPr="009E4713" w:rsidRDefault="004E149F" w:rsidP="009E4713">
      <w:pPr>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lastRenderedPageBreak/>
        <w:t>F</w:t>
      </w:r>
      <w:r w:rsidR="008E6638" w:rsidRPr="009E4713">
        <w:rPr>
          <w:rFonts w:ascii="Arial" w:hAnsi="Arial" w:cs="Arial"/>
          <w:sz w:val="20"/>
          <w:szCs w:val="20"/>
        </w:rPr>
        <w:t>aria</w:t>
      </w:r>
      <w:r w:rsidRPr="009E4713">
        <w:rPr>
          <w:rFonts w:ascii="Arial" w:hAnsi="Arial" w:cs="Arial"/>
          <w:sz w:val="20"/>
          <w:szCs w:val="20"/>
        </w:rPr>
        <w:t xml:space="preserve">, </w:t>
      </w:r>
      <w:smartTag w:uri="urn:schemas-microsoft-com:office:smarttags" w:element="PersonName">
        <w:smartTagPr>
          <w:attr w:name="ProductID" w:val="Jos￩ Eduardo"/>
        </w:smartTagPr>
        <w:r w:rsidRPr="009E4713">
          <w:rPr>
            <w:rFonts w:ascii="Arial" w:hAnsi="Arial" w:cs="Arial"/>
            <w:sz w:val="20"/>
            <w:szCs w:val="20"/>
          </w:rPr>
          <w:t>José Eduardo</w:t>
        </w:r>
      </w:smartTag>
      <w:r w:rsidR="008E6638" w:rsidRPr="009E4713">
        <w:rPr>
          <w:rFonts w:ascii="Arial" w:hAnsi="Arial" w:cs="Arial"/>
          <w:sz w:val="20"/>
          <w:szCs w:val="20"/>
        </w:rPr>
        <w:t xml:space="preserve"> (Org.) (</w:t>
      </w:r>
      <w:r w:rsidRPr="009E4713">
        <w:rPr>
          <w:rFonts w:ascii="Arial" w:hAnsi="Arial" w:cs="Arial"/>
          <w:sz w:val="20"/>
          <w:szCs w:val="20"/>
        </w:rPr>
        <w:t>2002</w:t>
      </w:r>
      <w:r w:rsidR="008E6638" w:rsidRPr="009E4713">
        <w:rPr>
          <w:rFonts w:ascii="Arial" w:hAnsi="Arial" w:cs="Arial"/>
          <w:sz w:val="20"/>
          <w:szCs w:val="20"/>
        </w:rPr>
        <w:t>)</w:t>
      </w:r>
      <w:r w:rsidR="00766550"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i/>
          <w:sz w:val="20"/>
          <w:szCs w:val="20"/>
        </w:rPr>
        <w:t>Regulação, Direito e Democracia</w:t>
      </w:r>
      <w:r w:rsidRPr="009E4713">
        <w:rPr>
          <w:rFonts w:ascii="Arial" w:hAnsi="Arial" w:cs="Arial"/>
          <w:sz w:val="20"/>
          <w:szCs w:val="20"/>
        </w:rPr>
        <w:t>, São Paulo, Fundação Perseu Abramo</w:t>
      </w:r>
      <w:r w:rsidR="008E6638" w:rsidRPr="009E4713">
        <w:rPr>
          <w:rFonts w:ascii="Arial" w:hAnsi="Arial" w:cs="Arial"/>
          <w:sz w:val="20"/>
          <w:szCs w:val="20"/>
        </w:rPr>
        <w:t>.</w:t>
      </w:r>
    </w:p>
    <w:p w:rsidR="004E149F" w:rsidRPr="009E4713" w:rsidRDefault="004E149F" w:rsidP="009E4713">
      <w:pPr>
        <w:spacing w:line="320" w:lineRule="exact"/>
        <w:ind w:left="426" w:hanging="426"/>
        <w:jc w:val="both"/>
        <w:rPr>
          <w:rFonts w:ascii="Arial" w:hAnsi="Arial" w:cs="Arial"/>
          <w:sz w:val="20"/>
          <w:szCs w:val="20"/>
        </w:rPr>
      </w:pPr>
      <w:r w:rsidRPr="009E4713">
        <w:rPr>
          <w:rFonts w:ascii="Arial" w:hAnsi="Arial" w:cs="Arial"/>
          <w:sz w:val="20"/>
          <w:szCs w:val="20"/>
        </w:rPr>
        <w:t>F</w:t>
      </w:r>
      <w:r w:rsidR="008E6638" w:rsidRPr="009E4713">
        <w:rPr>
          <w:rFonts w:ascii="Arial" w:hAnsi="Arial" w:cs="Arial"/>
          <w:sz w:val="20"/>
          <w:szCs w:val="20"/>
        </w:rPr>
        <w:t>erraz</w:t>
      </w:r>
      <w:r w:rsidRPr="009E4713">
        <w:rPr>
          <w:rFonts w:ascii="Arial" w:hAnsi="Arial" w:cs="Arial"/>
          <w:sz w:val="20"/>
          <w:szCs w:val="20"/>
        </w:rPr>
        <w:t xml:space="preserve">, David (2008), </w:t>
      </w:r>
      <w:r w:rsidRPr="009E4713">
        <w:rPr>
          <w:rFonts w:ascii="Arial" w:hAnsi="Arial" w:cs="Arial"/>
          <w:i/>
          <w:sz w:val="20"/>
          <w:szCs w:val="20"/>
        </w:rPr>
        <w:t>A alta Administração Pública no Contexto da Evolução dos Modelos de Estado e de Administração</w:t>
      </w:r>
      <w:r w:rsidRPr="009E4713">
        <w:rPr>
          <w:rFonts w:ascii="Arial" w:hAnsi="Arial" w:cs="Arial"/>
          <w:sz w:val="20"/>
          <w:szCs w:val="20"/>
        </w:rPr>
        <w:t>, Oeiras, Instituto Nacional de Administração</w:t>
      </w:r>
      <w:r w:rsidR="00177B1F" w:rsidRPr="009E4713">
        <w:rPr>
          <w:rFonts w:ascii="Arial" w:hAnsi="Arial" w:cs="Arial"/>
          <w:sz w:val="20"/>
          <w:szCs w:val="20"/>
        </w:rPr>
        <w:t xml:space="preserve"> </w:t>
      </w:r>
    </w:p>
    <w:p w:rsidR="004E149F" w:rsidRPr="009E4713" w:rsidRDefault="008E6638" w:rsidP="009E4713">
      <w:pPr>
        <w:spacing w:line="320" w:lineRule="exact"/>
        <w:ind w:left="426" w:hanging="426"/>
        <w:jc w:val="both"/>
        <w:rPr>
          <w:rFonts w:ascii="Arial" w:hAnsi="Arial" w:cs="Arial"/>
          <w:sz w:val="20"/>
          <w:szCs w:val="20"/>
          <w:lang w:val="en-US"/>
        </w:rPr>
      </w:pPr>
      <w:r w:rsidRPr="009E4713">
        <w:rPr>
          <w:rFonts w:ascii="Arial" w:hAnsi="Arial" w:cs="Arial"/>
          <w:sz w:val="20"/>
          <w:szCs w:val="20"/>
          <w:lang w:val="en-US"/>
        </w:rPr>
        <w:t>Flora</w:t>
      </w:r>
      <w:r w:rsidR="004E149F" w:rsidRPr="009E4713">
        <w:rPr>
          <w:rFonts w:ascii="Arial" w:hAnsi="Arial" w:cs="Arial"/>
          <w:sz w:val="20"/>
          <w:szCs w:val="20"/>
          <w:lang w:val="en-US"/>
        </w:rPr>
        <w:t xml:space="preserve">, P. and J. Alber (1981), </w:t>
      </w:r>
      <w:r w:rsidR="004E149F" w:rsidRPr="009E4713">
        <w:rPr>
          <w:rFonts w:ascii="Arial" w:hAnsi="Arial" w:cs="Arial"/>
          <w:i/>
          <w:sz w:val="20"/>
          <w:szCs w:val="20"/>
          <w:lang w:val="en-US"/>
        </w:rPr>
        <w:t>Modernization, Democratization and the Development of Welfare States in Western Europe</w:t>
      </w:r>
      <w:r w:rsidR="004E149F" w:rsidRPr="009E4713">
        <w:rPr>
          <w:rFonts w:ascii="Arial" w:hAnsi="Arial" w:cs="Arial"/>
          <w:sz w:val="20"/>
          <w:szCs w:val="20"/>
          <w:lang w:val="en-US"/>
        </w:rPr>
        <w:t xml:space="preserve">, em Flora, P. and A. J. Heidenheimer , </w:t>
      </w:r>
      <w:r w:rsidR="004E149F" w:rsidRPr="009E4713">
        <w:rPr>
          <w:rFonts w:ascii="Arial" w:hAnsi="Arial" w:cs="Arial"/>
          <w:i/>
          <w:iCs/>
          <w:sz w:val="20"/>
          <w:szCs w:val="20"/>
          <w:lang w:val="en-US"/>
        </w:rPr>
        <w:t>The Development of Welfare States in Europe and America,</w:t>
      </w:r>
      <w:r w:rsidR="004E149F" w:rsidRPr="009E4713">
        <w:rPr>
          <w:rFonts w:ascii="Arial" w:hAnsi="Arial" w:cs="Arial"/>
          <w:sz w:val="20"/>
          <w:szCs w:val="20"/>
          <w:lang w:val="en-US"/>
        </w:rPr>
        <w:t xml:space="preserve"> New Brunswick and London, s.n</w:t>
      </w:r>
      <w:r w:rsidR="00177B1F" w:rsidRPr="009E4713">
        <w:rPr>
          <w:rFonts w:ascii="Arial" w:hAnsi="Arial" w:cs="Arial"/>
          <w:sz w:val="20"/>
          <w:szCs w:val="20"/>
          <w:lang w:val="en-US"/>
        </w:rPr>
        <w:t xml:space="preserve"> </w:t>
      </w:r>
    </w:p>
    <w:p w:rsidR="004D4298" w:rsidRPr="009E4713" w:rsidRDefault="004D4298" w:rsidP="009E4713">
      <w:pPr>
        <w:widowControl w:val="0"/>
        <w:tabs>
          <w:tab w:val="left" w:pos="426"/>
        </w:tabs>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Franco, Viviane Gil (2007)</w:t>
      </w:r>
      <w:r w:rsidR="00766550"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i/>
          <w:sz w:val="20"/>
          <w:szCs w:val="20"/>
        </w:rPr>
        <w:t>Parcerias Público-Privadas no Brasil: em busca de eficiência por meio da alocação de riscos</w:t>
      </w:r>
      <w:r w:rsidRPr="009E4713">
        <w:rPr>
          <w:rFonts w:ascii="Arial" w:hAnsi="Arial" w:cs="Arial"/>
          <w:sz w:val="20"/>
          <w:szCs w:val="20"/>
        </w:rPr>
        <w:t>. Dissertação de mestrado em economia política, São Paulo, PUC</w:t>
      </w:r>
    </w:p>
    <w:p w:rsidR="006565F1" w:rsidRPr="009E4713" w:rsidRDefault="004D4298" w:rsidP="009E4713">
      <w:pPr>
        <w:widowControl w:val="0"/>
        <w:tabs>
          <w:tab w:val="left" w:pos="426"/>
        </w:tabs>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 xml:space="preserve">Grupo Banco Mundial (2003), </w:t>
      </w:r>
      <w:r w:rsidRPr="009E4713">
        <w:rPr>
          <w:rFonts w:ascii="Arial" w:hAnsi="Arial" w:cs="Arial"/>
          <w:i/>
          <w:sz w:val="20"/>
          <w:szCs w:val="20"/>
        </w:rPr>
        <w:t>Um Brasil mais justo, sustentável e competitivo: Estratégia d</w:t>
      </w:r>
      <w:r w:rsidR="00FC2DE7" w:rsidRPr="009E4713">
        <w:rPr>
          <w:rFonts w:ascii="Arial" w:hAnsi="Arial" w:cs="Arial"/>
          <w:i/>
          <w:sz w:val="20"/>
          <w:szCs w:val="20"/>
        </w:rPr>
        <w:t xml:space="preserve">e Assistência ao país 2004-2007, </w:t>
      </w:r>
      <w:r w:rsidR="00FC2DE7" w:rsidRPr="009E4713">
        <w:rPr>
          <w:rFonts w:ascii="Arial" w:hAnsi="Arial" w:cs="Arial"/>
          <w:sz w:val="20"/>
          <w:szCs w:val="20"/>
        </w:rPr>
        <w:t>Brasília, Banco Mundial</w:t>
      </w:r>
      <w:r w:rsidRPr="009E4713">
        <w:rPr>
          <w:rFonts w:ascii="Arial" w:hAnsi="Arial" w:cs="Arial"/>
          <w:sz w:val="20"/>
          <w:szCs w:val="20"/>
        </w:rPr>
        <w:t xml:space="preserve">. </w:t>
      </w:r>
    </w:p>
    <w:p w:rsidR="004D4298" w:rsidRPr="009E4713" w:rsidRDefault="004D4298" w:rsidP="009E4713">
      <w:pPr>
        <w:widowControl w:val="0"/>
        <w:tabs>
          <w:tab w:val="left" w:pos="0"/>
        </w:tabs>
        <w:autoSpaceDE w:val="0"/>
        <w:autoSpaceDN w:val="0"/>
        <w:adjustRightInd w:val="0"/>
        <w:spacing w:line="320" w:lineRule="exact"/>
        <w:rPr>
          <w:rFonts w:ascii="Arial" w:hAnsi="Arial" w:cs="Arial"/>
          <w:sz w:val="20"/>
          <w:szCs w:val="20"/>
        </w:rPr>
      </w:pPr>
      <w:r w:rsidRPr="009E4713">
        <w:rPr>
          <w:rFonts w:ascii="Arial" w:hAnsi="Arial" w:cs="Arial"/>
          <w:sz w:val="20"/>
          <w:szCs w:val="20"/>
        </w:rPr>
        <w:t>Disponível em</w:t>
      </w:r>
      <w:r w:rsidR="006565F1" w:rsidRPr="009E4713">
        <w:rPr>
          <w:rFonts w:ascii="Arial" w:hAnsi="Arial" w:cs="Arial"/>
          <w:sz w:val="20"/>
          <w:szCs w:val="20"/>
        </w:rPr>
        <w:t xml:space="preserve">: </w:t>
      </w:r>
      <w:hyperlink r:id="rId45" w:history="1">
        <w:r w:rsidRPr="009E4713">
          <w:rPr>
            <w:rStyle w:val="Hyperlink"/>
            <w:rFonts w:ascii="Arial" w:hAnsi="Arial" w:cs="Arial"/>
            <w:color w:val="auto"/>
            <w:sz w:val="20"/>
            <w:szCs w:val="20"/>
            <w:u w:val="none"/>
          </w:rPr>
          <w:t>http://siteresources.worldba</w:t>
        </w:r>
        <w:r w:rsidRPr="009E4713">
          <w:rPr>
            <w:rStyle w:val="Hyperlink"/>
            <w:rFonts w:ascii="Arial" w:hAnsi="Arial" w:cs="Arial"/>
            <w:color w:val="auto"/>
            <w:sz w:val="20"/>
            <w:szCs w:val="20"/>
            <w:u w:val="none"/>
          </w:rPr>
          <w:t>n</w:t>
        </w:r>
        <w:r w:rsidRPr="009E4713">
          <w:rPr>
            <w:rStyle w:val="Hyperlink"/>
            <w:rFonts w:ascii="Arial" w:hAnsi="Arial" w:cs="Arial"/>
            <w:color w:val="auto"/>
            <w:sz w:val="20"/>
            <w:szCs w:val="20"/>
            <w:u w:val="none"/>
          </w:rPr>
          <w:t>k.org/BRAZILINPOREXTN/Resources/BRAZILCAS2003Port.pdf</w:t>
        </w:r>
      </w:hyperlink>
      <w:r w:rsidRPr="009E4713">
        <w:rPr>
          <w:rFonts w:ascii="Arial" w:hAnsi="Arial" w:cs="Arial"/>
          <w:sz w:val="20"/>
          <w:szCs w:val="20"/>
        </w:rPr>
        <w:t xml:space="preserve"> </w:t>
      </w:r>
    </w:p>
    <w:p w:rsidR="00FC2DE7" w:rsidRPr="009E4713" w:rsidRDefault="004D4298" w:rsidP="009E4713">
      <w:pPr>
        <w:widowControl w:val="0"/>
        <w:tabs>
          <w:tab w:val="left" w:pos="426"/>
        </w:tabs>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 xml:space="preserve">Grupo Banco Mundial (2008), </w:t>
      </w:r>
      <w:r w:rsidRPr="009E4713">
        <w:rPr>
          <w:rFonts w:ascii="Arial" w:hAnsi="Arial" w:cs="Arial"/>
          <w:i/>
          <w:sz w:val="20"/>
          <w:szCs w:val="20"/>
        </w:rPr>
        <w:t>Estratégia de parceria com o Brasil 2008-2011</w:t>
      </w:r>
      <w:r w:rsidR="00FC2DE7" w:rsidRPr="009E4713">
        <w:rPr>
          <w:rFonts w:ascii="Arial" w:hAnsi="Arial" w:cs="Arial"/>
          <w:sz w:val="20"/>
          <w:szCs w:val="20"/>
        </w:rPr>
        <w:t>, Brasília, Banco Mundial</w:t>
      </w:r>
      <w:r w:rsidRPr="009E4713">
        <w:rPr>
          <w:rFonts w:ascii="Arial" w:hAnsi="Arial" w:cs="Arial"/>
          <w:sz w:val="20"/>
          <w:szCs w:val="20"/>
        </w:rPr>
        <w:t>.</w:t>
      </w:r>
    </w:p>
    <w:p w:rsidR="004D4298" w:rsidRPr="009E4713" w:rsidRDefault="004D4298" w:rsidP="009E4713">
      <w:pPr>
        <w:widowControl w:val="0"/>
        <w:tabs>
          <w:tab w:val="left" w:pos="0"/>
        </w:tabs>
        <w:autoSpaceDE w:val="0"/>
        <w:autoSpaceDN w:val="0"/>
        <w:adjustRightInd w:val="0"/>
        <w:spacing w:line="320" w:lineRule="exact"/>
        <w:rPr>
          <w:rFonts w:ascii="Arial" w:hAnsi="Arial" w:cs="Arial"/>
          <w:sz w:val="20"/>
          <w:szCs w:val="20"/>
        </w:rPr>
      </w:pPr>
      <w:r w:rsidRPr="009E4713">
        <w:rPr>
          <w:rFonts w:ascii="Arial" w:hAnsi="Arial" w:cs="Arial"/>
          <w:sz w:val="20"/>
          <w:szCs w:val="20"/>
        </w:rPr>
        <w:t xml:space="preserve"> Disponível em </w:t>
      </w:r>
      <w:hyperlink r:id="rId46" w:history="1">
        <w:r w:rsidRPr="009E4713">
          <w:rPr>
            <w:rStyle w:val="Hyperlink"/>
            <w:rFonts w:ascii="Arial" w:hAnsi="Arial" w:cs="Arial"/>
            <w:color w:val="auto"/>
            <w:sz w:val="20"/>
            <w:szCs w:val="20"/>
            <w:u w:val="none"/>
          </w:rPr>
          <w:t>http://siteresources.worldbank.org/BRAZILINPOREXTN/Resources/3817166-1220388091471/EPBrasil2008.pdf?resourceurlname=EPBrasil2008.pdf</w:t>
        </w:r>
      </w:hyperlink>
    </w:p>
    <w:p w:rsidR="004D4298" w:rsidRPr="009E4713" w:rsidRDefault="004D4298" w:rsidP="009E4713">
      <w:pPr>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Instituto Ethos</w:t>
      </w:r>
      <w:r w:rsidR="008E6638" w:rsidRPr="009E4713">
        <w:rPr>
          <w:rFonts w:ascii="Arial" w:hAnsi="Arial" w:cs="Arial"/>
          <w:sz w:val="20"/>
          <w:szCs w:val="20"/>
        </w:rPr>
        <w:t xml:space="preserve"> (2006)</w:t>
      </w:r>
      <w:r w:rsidR="00FC2DE7"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i/>
          <w:sz w:val="20"/>
          <w:szCs w:val="20"/>
        </w:rPr>
        <w:t>Responsabilidade social empresarial nos processos gerenciais e</w:t>
      </w:r>
      <w:r w:rsidR="008E6638" w:rsidRPr="009E4713">
        <w:rPr>
          <w:rFonts w:ascii="Arial" w:hAnsi="Arial" w:cs="Arial"/>
          <w:i/>
          <w:sz w:val="20"/>
          <w:szCs w:val="20"/>
        </w:rPr>
        <w:t xml:space="preserve"> </w:t>
      </w:r>
      <w:r w:rsidRPr="009E4713">
        <w:rPr>
          <w:rFonts w:ascii="Arial" w:hAnsi="Arial" w:cs="Arial"/>
          <w:i/>
          <w:sz w:val="20"/>
          <w:szCs w:val="20"/>
        </w:rPr>
        <w:t>nas cadeias de valor</w:t>
      </w:r>
      <w:r w:rsidR="00FC2DE7" w:rsidRPr="009E4713">
        <w:rPr>
          <w:rFonts w:ascii="Arial" w:hAnsi="Arial" w:cs="Arial"/>
          <w:sz w:val="20"/>
          <w:szCs w:val="20"/>
        </w:rPr>
        <w:t>,</w:t>
      </w:r>
      <w:r w:rsidRPr="009E4713">
        <w:rPr>
          <w:rFonts w:ascii="Arial" w:hAnsi="Arial" w:cs="Arial"/>
          <w:sz w:val="20"/>
          <w:szCs w:val="20"/>
        </w:rPr>
        <w:t xml:space="preserve"> São Paulo, </w:t>
      </w:r>
      <w:r w:rsidR="008E6638" w:rsidRPr="009E4713">
        <w:rPr>
          <w:rFonts w:ascii="Arial" w:hAnsi="Arial" w:cs="Arial"/>
          <w:sz w:val="20"/>
          <w:szCs w:val="20"/>
        </w:rPr>
        <w:t>Ethos</w:t>
      </w:r>
    </w:p>
    <w:p w:rsidR="004D4298" w:rsidRPr="009E4713" w:rsidRDefault="00FC2DE7" w:rsidP="009E4713">
      <w:pPr>
        <w:widowControl w:val="0"/>
        <w:autoSpaceDE w:val="0"/>
        <w:autoSpaceDN w:val="0"/>
        <w:adjustRightInd w:val="0"/>
        <w:spacing w:line="320" w:lineRule="exact"/>
        <w:rPr>
          <w:rFonts w:ascii="Arial" w:hAnsi="Arial" w:cs="Arial"/>
          <w:sz w:val="20"/>
          <w:szCs w:val="20"/>
        </w:rPr>
      </w:pPr>
      <w:r w:rsidRPr="009E4713">
        <w:rPr>
          <w:rFonts w:ascii="Arial" w:hAnsi="Arial" w:cs="Arial"/>
          <w:sz w:val="20"/>
          <w:szCs w:val="20"/>
        </w:rPr>
        <w:t xml:space="preserve">Disponível em </w:t>
      </w:r>
      <w:hyperlink r:id="rId47" w:history="1">
        <w:r w:rsidR="004D4298" w:rsidRPr="009E4713">
          <w:rPr>
            <w:rStyle w:val="Hyperlink"/>
            <w:rFonts w:ascii="Arial" w:hAnsi="Arial" w:cs="Arial"/>
            <w:color w:val="auto"/>
            <w:sz w:val="20"/>
            <w:szCs w:val="20"/>
            <w:u w:val="none"/>
          </w:rPr>
          <w:t>http://www.uniethos.org.br/_Uniethos/Docu</w:t>
        </w:r>
        <w:r w:rsidR="004D4298" w:rsidRPr="009E4713">
          <w:rPr>
            <w:rStyle w:val="Hyperlink"/>
            <w:rFonts w:ascii="Arial" w:hAnsi="Arial" w:cs="Arial"/>
            <w:color w:val="auto"/>
            <w:sz w:val="20"/>
            <w:szCs w:val="20"/>
            <w:u w:val="none"/>
          </w:rPr>
          <w:t>m</w:t>
        </w:r>
        <w:r w:rsidR="004D4298" w:rsidRPr="009E4713">
          <w:rPr>
            <w:rStyle w:val="Hyperlink"/>
            <w:rFonts w:ascii="Arial" w:hAnsi="Arial" w:cs="Arial"/>
            <w:color w:val="auto"/>
            <w:sz w:val="20"/>
            <w:szCs w:val="20"/>
            <w:u w:val="none"/>
          </w:rPr>
          <w:t>ents/proces_gerenciais_web.pdf</w:t>
        </w:r>
      </w:hyperlink>
    </w:p>
    <w:p w:rsidR="004E149F" w:rsidRPr="009E4713" w:rsidRDefault="008E6638" w:rsidP="009E4713">
      <w:pPr>
        <w:spacing w:line="320" w:lineRule="exact"/>
        <w:jc w:val="both"/>
        <w:rPr>
          <w:rFonts w:ascii="Arial" w:hAnsi="Arial" w:cs="Arial"/>
          <w:sz w:val="20"/>
          <w:szCs w:val="20"/>
        </w:rPr>
      </w:pPr>
      <w:r w:rsidRPr="009E4713">
        <w:rPr>
          <w:rFonts w:ascii="Arial" w:hAnsi="Arial" w:cs="Arial"/>
          <w:sz w:val="20"/>
          <w:szCs w:val="20"/>
        </w:rPr>
        <w:t>Jellinek</w:t>
      </w:r>
      <w:r w:rsidR="004E149F" w:rsidRPr="009E4713">
        <w:rPr>
          <w:rFonts w:ascii="Arial" w:hAnsi="Arial" w:cs="Arial"/>
          <w:sz w:val="20"/>
          <w:szCs w:val="20"/>
        </w:rPr>
        <w:t xml:space="preserve">, Georg (2002), </w:t>
      </w:r>
      <w:r w:rsidR="004E149F" w:rsidRPr="009E4713">
        <w:rPr>
          <w:rFonts w:ascii="Arial" w:hAnsi="Arial" w:cs="Arial"/>
          <w:i/>
          <w:sz w:val="20"/>
          <w:szCs w:val="20"/>
        </w:rPr>
        <w:t>Teoría General del Estado</w:t>
      </w:r>
      <w:r w:rsidR="004E149F" w:rsidRPr="009E4713">
        <w:rPr>
          <w:rFonts w:ascii="Arial" w:hAnsi="Arial" w:cs="Arial"/>
          <w:sz w:val="20"/>
          <w:szCs w:val="20"/>
        </w:rPr>
        <w:t>, México, FCE</w:t>
      </w:r>
    </w:p>
    <w:p w:rsidR="004E149F" w:rsidRPr="009E4713" w:rsidRDefault="008E6638" w:rsidP="009E4713">
      <w:pPr>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Jones</w:t>
      </w:r>
      <w:r w:rsidR="004E149F" w:rsidRPr="009E4713">
        <w:rPr>
          <w:rFonts w:ascii="Arial" w:hAnsi="Arial" w:cs="Arial"/>
          <w:sz w:val="20"/>
          <w:szCs w:val="20"/>
        </w:rPr>
        <w:t>, L. R.; T</w:t>
      </w:r>
      <w:r w:rsidRPr="009E4713">
        <w:rPr>
          <w:rFonts w:ascii="Arial" w:hAnsi="Arial" w:cs="Arial"/>
          <w:sz w:val="20"/>
          <w:szCs w:val="20"/>
        </w:rPr>
        <w:t>hompson</w:t>
      </w:r>
      <w:r w:rsidR="00FC2DE7" w:rsidRPr="009E4713">
        <w:rPr>
          <w:rFonts w:ascii="Arial" w:hAnsi="Arial" w:cs="Arial"/>
          <w:sz w:val="20"/>
          <w:szCs w:val="20"/>
        </w:rPr>
        <w:t>, F</w:t>
      </w:r>
      <w:r w:rsidR="004E149F" w:rsidRPr="009E4713">
        <w:rPr>
          <w:rFonts w:ascii="Arial" w:hAnsi="Arial" w:cs="Arial"/>
          <w:sz w:val="20"/>
          <w:szCs w:val="20"/>
        </w:rPr>
        <w:t xml:space="preserve"> (2000), “</w:t>
      </w:r>
      <w:r w:rsidR="004E149F" w:rsidRPr="009E4713">
        <w:rPr>
          <w:rFonts w:ascii="Arial" w:hAnsi="Arial" w:cs="Arial"/>
          <w:bCs/>
          <w:sz w:val="20"/>
          <w:szCs w:val="20"/>
        </w:rPr>
        <w:t>Um modelo para a nova gerência pública”,</w:t>
      </w:r>
      <w:r w:rsidR="004E149F" w:rsidRPr="009E4713">
        <w:rPr>
          <w:rFonts w:ascii="Arial" w:hAnsi="Arial" w:cs="Arial"/>
          <w:sz w:val="20"/>
          <w:szCs w:val="20"/>
        </w:rPr>
        <w:t xml:space="preserve"> </w:t>
      </w:r>
      <w:r w:rsidR="004E149F" w:rsidRPr="009E4713">
        <w:rPr>
          <w:rFonts w:ascii="Arial" w:hAnsi="Arial" w:cs="Arial"/>
          <w:i/>
          <w:sz w:val="20"/>
          <w:szCs w:val="20"/>
        </w:rPr>
        <w:t>Revista do Serviço Público,</w:t>
      </w:r>
      <w:r w:rsidR="004E149F" w:rsidRPr="009E4713">
        <w:rPr>
          <w:rFonts w:ascii="Arial" w:hAnsi="Arial" w:cs="Arial"/>
          <w:sz w:val="20"/>
          <w:szCs w:val="20"/>
        </w:rPr>
        <w:t xml:space="preserve"> 51 </w:t>
      </w:r>
    </w:p>
    <w:p w:rsidR="00006928" w:rsidRPr="009E4713" w:rsidRDefault="004E149F" w:rsidP="009E4713">
      <w:pPr>
        <w:widowControl w:val="0"/>
        <w:tabs>
          <w:tab w:val="left" w:pos="426"/>
        </w:tabs>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lang w:val="en-US"/>
        </w:rPr>
        <w:t>Kee, James E., John Forrer (2002)</w:t>
      </w:r>
      <w:r w:rsidR="00006928" w:rsidRPr="009E4713">
        <w:rPr>
          <w:rFonts w:ascii="Arial" w:hAnsi="Arial" w:cs="Arial"/>
          <w:sz w:val="20"/>
          <w:szCs w:val="20"/>
          <w:lang w:val="en-US"/>
        </w:rPr>
        <w:t>,</w:t>
      </w:r>
      <w:r w:rsidRPr="009E4713">
        <w:rPr>
          <w:rFonts w:ascii="Arial" w:hAnsi="Arial" w:cs="Arial"/>
          <w:sz w:val="20"/>
          <w:szCs w:val="20"/>
          <w:lang w:val="en-US"/>
        </w:rPr>
        <w:t xml:space="preserve"> “Private Finance Initiative – The theory behind the practice”. </w:t>
      </w:r>
      <w:r w:rsidRPr="009E4713">
        <w:rPr>
          <w:rFonts w:ascii="Arial" w:hAnsi="Arial" w:cs="Arial"/>
          <w:sz w:val="20"/>
          <w:szCs w:val="20"/>
        </w:rPr>
        <w:t xml:space="preserve">Comunicação apresentada na </w:t>
      </w:r>
      <w:r w:rsidRPr="009E4713">
        <w:rPr>
          <w:rFonts w:ascii="Arial" w:hAnsi="Arial" w:cs="Arial"/>
          <w:i/>
          <w:sz w:val="20"/>
          <w:szCs w:val="20"/>
        </w:rPr>
        <w:t>14ª Conferência Anual da Associação para administração financeira e orçamentária</w:t>
      </w:r>
      <w:r w:rsidRPr="009E4713">
        <w:rPr>
          <w:rFonts w:ascii="Arial" w:hAnsi="Arial" w:cs="Arial"/>
          <w:sz w:val="20"/>
          <w:szCs w:val="20"/>
        </w:rPr>
        <w:t xml:space="preserve">. </w:t>
      </w:r>
    </w:p>
    <w:p w:rsidR="004E149F" w:rsidRPr="009E4713" w:rsidRDefault="004E149F" w:rsidP="009E4713">
      <w:pPr>
        <w:widowControl w:val="0"/>
        <w:tabs>
          <w:tab w:val="left" w:pos="0"/>
        </w:tabs>
        <w:autoSpaceDE w:val="0"/>
        <w:autoSpaceDN w:val="0"/>
        <w:adjustRightInd w:val="0"/>
        <w:spacing w:line="320" w:lineRule="exact"/>
        <w:rPr>
          <w:rFonts w:ascii="Arial" w:hAnsi="Arial" w:cs="Arial"/>
          <w:sz w:val="20"/>
          <w:szCs w:val="20"/>
        </w:rPr>
      </w:pPr>
      <w:r w:rsidRPr="009E4713">
        <w:rPr>
          <w:rFonts w:ascii="Arial" w:hAnsi="Arial" w:cs="Arial"/>
          <w:sz w:val="20"/>
          <w:szCs w:val="20"/>
        </w:rPr>
        <w:t xml:space="preserve">Disponível em </w:t>
      </w:r>
      <w:hyperlink r:id="rId48" w:history="1">
        <w:r w:rsidRPr="009E4713">
          <w:rPr>
            <w:rStyle w:val="Hyperlink"/>
            <w:rFonts w:ascii="Arial" w:hAnsi="Arial" w:cs="Arial"/>
            <w:color w:val="auto"/>
            <w:sz w:val="20"/>
            <w:szCs w:val="20"/>
            <w:u w:val="none"/>
          </w:rPr>
          <w:t>http://unpan1.un.org/intradoc/groups/public/documents/ASPA/UNPAN005912.pdf</w:t>
        </w:r>
      </w:hyperlink>
      <w:r w:rsidRPr="009E4713">
        <w:rPr>
          <w:rFonts w:ascii="Arial" w:hAnsi="Arial" w:cs="Arial"/>
          <w:sz w:val="20"/>
          <w:szCs w:val="20"/>
        </w:rPr>
        <w:t xml:space="preserve">   </w:t>
      </w:r>
    </w:p>
    <w:p w:rsidR="004E149F" w:rsidRPr="009E4713" w:rsidRDefault="004E149F" w:rsidP="009E4713">
      <w:pPr>
        <w:tabs>
          <w:tab w:val="left" w:pos="426"/>
        </w:tabs>
        <w:autoSpaceDE w:val="0"/>
        <w:autoSpaceDN w:val="0"/>
        <w:adjustRightInd w:val="0"/>
        <w:spacing w:line="320" w:lineRule="exact"/>
        <w:ind w:left="426" w:hanging="426"/>
        <w:jc w:val="both"/>
        <w:rPr>
          <w:rFonts w:ascii="Arial" w:hAnsi="Arial" w:cs="Arial"/>
          <w:sz w:val="20"/>
          <w:szCs w:val="20"/>
          <w:lang w:val="pt-PT"/>
        </w:rPr>
      </w:pPr>
      <w:r w:rsidRPr="009E4713">
        <w:rPr>
          <w:rFonts w:ascii="Arial" w:hAnsi="Arial" w:cs="Arial"/>
          <w:sz w:val="20"/>
          <w:szCs w:val="20"/>
          <w:lang w:val="pt-PT"/>
        </w:rPr>
        <w:t>K</w:t>
      </w:r>
      <w:r w:rsidR="008E6638" w:rsidRPr="009E4713">
        <w:rPr>
          <w:rFonts w:ascii="Arial" w:hAnsi="Arial" w:cs="Arial"/>
          <w:sz w:val="20"/>
          <w:szCs w:val="20"/>
          <w:lang w:val="pt-PT"/>
        </w:rPr>
        <w:t>eynes</w:t>
      </w:r>
      <w:r w:rsidRPr="009E4713">
        <w:rPr>
          <w:rFonts w:ascii="Arial" w:hAnsi="Arial" w:cs="Arial"/>
          <w:sz w:val="20"/>
          <w:szCs w:val="20"/>
          <w:lang w:val="pt-PT"/>
        </w:rPr>
        <w:t xml:space="preserve">, John Maynard. </w:t>
      </w:r>
      <w:r w:rsidR="008E6638" w:rsidRPr="009E4713">
        <w:rPr>
          <w:rFonts w:ascii="Arial" w:hAnsi="Arial" w:cs="Arial"/>
          <w:iCs/>
          <w:sz w:val="20"/>
          <w:szCs w:val="20"/>
          <w:lang w:val="pt-PT"/>
        </w:rPr>
        <w:t>(1992)</w:t>
      </w:r>
      <w:r w:rsidR="00006928" w:rsidRPr="009E4713">
        <w:rPr>
          <w:rFonts w:ascii="Arial" w:hAnsi="Arial" w:cs="Arial"/>
          <w:iCs/>
          <w:sz w:val="20"/>
          <w:szCs w:val="20"/>
          <w:lang w:val="pt-PT"/>
        </w:rPr>
        <w:t>,</w:t>
      </w:r>
      <w:r w:rsidR="008E6638" w:rsidRPr="009E4713">
        <w:rPr>
          <w:rFonts w:ascii="Arial" w:hAnsi="Arial" w:cs="Arial"/>
          <w:iCs/>
          <w:sz w:val="20"/>
          <w:szCs w:val="20"/>
          <w:lang w:val="pt-PT"/>
        </w:rPr>
        <w:t xml:space="preserve">. </w:t>
      </w:r>
      <w:r w:rsidRPr="009E4713">
        <w:rPr>
          <w:rFonts w:ascii="Arial" w:hAnsi="Arial" w:cs="Arial"/>
          <w:i/>
          <w:iCs/>
          <w:sz w:val="20"/>
          <w:szCs w:val="20"/>
          <w:lang w:val="pt-PT"/>
        </w:rPr>
        <w:t>Teoria geral</w:t>
      </w:r>
      <w:r w:rsidR="00006928" w:rsidRPr="009E4713">
        <w:rPr>
          <w:rFonts w:ascii="Arial" w:hAnsi="Arial" w:cs="Arial"/>
          <w:i/>
          <w:iCs/>
          <w:sz w:val="20"/>
          <w:szCs w:val="20"/>
          <w:lang w:val="pt-PT"/>
        </w:rPr>
        <w:t xml:space="preserve"> do emprego, do juro e da moeda,</w:t>
      </w:r>
      <w:r w:rsidRPr="009E4713">
        <w:rPr>
          <w:rFonts w:ascii="Arial" w:hAnsi="Arial" w:cs="Arial"/>
          <w:i/>
          <w:iCs/>
          <w:sz w:val="20"/>
          <w:szCs w:val="20"/>
          <w:lang w:val="pt-PT"/>
        </w:rPr>
        <w:t xml:space="preserve"> </w:t>
      </w:r>
      <w:r w:rsidR="00006928" w:rsidRPr="009E4713">
        <w:rPr>
          <w:rFonts w:ascii="Arial" w:hAnsi="Arial" w:cs="Arial"/>
          <w:sz w:val="20"/>
          <w:szCs w:val="20"/>
          <w:lang w:val="pt-PT"/>
        </w:rPr>
        <w:t>São Paulo,</w:t>
      </w:r>
      <w:r w:rsidRPr="009E4713">
        <w:rPr>
          <w:rFonts w:ascii="Arial" w:hAnsi="Arial" w:cs="Arial"/>
          <w:sz w:val="20"/>
          <w:szCs w:val="20"/>
          <w:lang w:val="pt-PT"/>
        </w:rPr>
        <w:t xml:space="preserve"> Atlas</w:t>
      </w:r>
    </w:p>
    <w:p w:rsidR="004E149F" w:rsidRPr="009E4713" w:rsidRDefault="004E149F" w:rsidP="009E4713">
      <w:pPr>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L</w:t>
      </w:r>
      <w:r w:rsidR="008E6638" w:rsidRPr="009E4713">
        <w:rPr>
          <w:rFonts w:ascii="Arial" w:hAnsi="Arial" w:cs="Arial"/>
          <w:sz w:val="20"/>
          <w:szCs w:val="20"/>
        </w:rPr>
        <w:t>eal</w:t>
      </w:r>
      <w:r w:rsidR="00006928" w:rsidRPr="009E4713">
        <w:rPr>
          <w:rFonts w:ascii="Arial" w:hAnsi="Arial" w:cs="Arial"/>
          <w:sz w:val="20"/>
          <w:szCs w:val="20"/>
        </w:rPr>
        <w:t>, Maria Lúcia Pinto</w:t>
      </w:r>
      <w:r w:rsidRPr="009E4713">
        <w:rPr>
          <w:rFonts w:ascii="Arial" w:hAnsi="Arial" w:cs="Arial"/>
          <w:sz w:val="20"/>
          <w:szCs w:val="20"/>
        </w:rPr>
        <w:t xml:space="preserve"> (1999)</w:t>
      </w:r>
      <w:r w:rsidR="00006928"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i/>
          <w:iCs/>
          <w:sz w:val="20"/>
          <w:szCs w:val="20"/>
        </w:rPr>
        <w:t>A Exploração Sexual Comercial de Meninos, Meninas e Adolescentes na América Latina e Caribe (Relatório Final – Brasil)</w:t>
      </w:r>
      <w:r w:rsidRPr="009E4713">
        <w:rPr>
          <w:rFonts w:ascii="Arial" w:hAnsi="Arial" w:cs="Arial"/>
          <w:sz w:val="20"/>
          <w:szCs w:val="20"/>
        </w:rPr>
        <w:t xml:space="preserve">, Brasília, CECRIA, </w:t>
      </w:r>
    </w:p>
    <w:p w:rsidR="00C6795F" w:rsidRPr="009E4713" w:rsidRDefault="004D4298" w:rsidP="009E4713">
      <w:pPr>
        <w:widowControl w:val="0"/>
        <w:tabs>
          <w:tab w:val="left" w:pos="0"/>
        </w:tabs>
        <w:autoSpaceDE w:val="0"/>
        <w:autoSpaceDN w:val="0"/>
        <w:adjustRightInd w:val="0"/>
        <w:spacing w:line="320" w:lineRule="exact"/>
        <w:jc w:val="both"/>
        <w:rPr>
          <w:rFonts w:ascii="Arial" w:hAnsi="Arial" w:cs="Arial"/>
          <w:i/>
          <w:sz w:val="20"/>
          <w:szCs w:val="20"/>
          <w:lang w:val="en-US"/>
        </w:rPr>
      </w:pPr>
      <w:r w:rsidRPr="009E4713">
        <w:rPr>
          <w:rFonts w:ascii="Arial" w:hAnsi="Arial" w:cs="Arial"/>
          <w:sz w:val="20"/>
          <w:szCs w:val="20"/>
          <w:lang w:val="en-US"/>
        </w:rPr>
        <w:t xml:space="preserve">Lewis , Mervyn K. (2001), </w:t>
      </w:r>
      <w:r w:rsidRPr="009E4713">
        <w:rPr>
          <w:rFonts w:ascii="Arial" w:hAnsi="Arial" w:cs="Arial"/>
          <w:i/>
          <w:sz w:val="20"/>
          <w:szCs w:val="20"/>
          <w:lang w:val="en-US"/>
        </w:rPr>
        <w:t>Risk Management in public private partnerships</w:t>
      </w:r>
      <w:r w:rsidR="00C6795F" w:rsidRPr="009E4713">
        <w:rPr>
          <w:rFonts w:ascii="Arial" w:hAnsi="Arial" w:cs="Arial"/>
          <w:i/>
          <w:sz w:val="20"/>
          <w:szCs w:val="20"/>
          <w:lang w:val="en-US"/>
        </w:rPr>
        <w:t xml:space="preserve">, </w:t>
      </w:r>
      <w:r w:rsidR="00C6795F" w:rsidRPr="009E4713">
        <w:rPr>
          <w:rFonts w:ascii="Arial" w:hAnsi="Arial" w:cs="Arial"/>
          <w:sz w:val="20"/>
          <w:szCs w:val="20"/>
          <w:lang w:val="en-US"/>
        </w:rPr>
        <w:t>Austrália, Cege</w:t>
      </w:r>
    </w:p>
    <w:p w:rsidR="004D4298" w:rsidRPr="009E4713" w:rsidRDefault="004D4298" w:rsidP="009E4713">
      <w:pPr>
        <w:widowControl w:val="0"/>
        <w:tabs>
          <w:tab w:val="left" w:pos="0"/>
        </w:tabs>
        <w:autoSpaceDE w:val="0"/>
        <w:autoSpaceDN w:val="0"/>
        <w:adjustRightInd w:val="0"/>
        <w:spacing w:line="320" w:lineRule="exact"/>
        <w:jc w:val="both"/>
        <w:rPr>
          <w:rFonts w:ascii="Arial" w:hAnsi="Arial" w:cs="Arial"/>
          <w:sz w:val="20"/>
          <w:szCs w:val="20"/>
        </w:rPr>
      </w:pPr>
      <w:r w:rsidRPr="009E4713">
        <w:rPr>
          <w:rFonts w:ascii="Arial" w:hAnsi="Arial" w:cs="Arial"/>
          <w:sz w:val="20"/>
          <w:szCs w:val="20"/>
        </w:rPr>
        <w:t xml:space="preserve">Disponível em </w:t>
      </w:r>
      <w:hyperlink r:id="rId49" w:history="1">
        <w:r w:rsidRPr="009E4713">
          <w:rPr>
            <w:rStyle w:val="Hyperlink"/>
            <w:rFonts w:ascii="Arial" w:hAnsi="Arial" w:cs="Arial"/>
            <w:color w:val="auto"/>
            <w:sz w:val="20"/>
            <w:szCs w:val="20"/>
            <w:u w:val="none"/>
          </w:rPr>
          <w:t>http://www.uni</w:t>
        </w:r>
        <w:r w:rsidRPr="009E4713">
          <w:rPr>
            <w:rStyle w:val="Hyperlink"/>
            <w:rFonts w:ascii="Arial" w:hAnsi="Arial" w:cs="Arial"/>
            <w:color w:val="auto"/>
            <w:sz w:val="20"/>
            <w:szCs w:val="20"/>
            <w:u w:val="none"/>
          </w:rPr>
          <w:t>-</w:t>
        </w:r>
        <w:r w:rsidRPr="009E4713">
          <w:rPr>
            <w:rStyle w:val="Hyperlink"/>
            <w:rFonts w:ascii="Arial" w:hAnsi="Arial" w:cs="Arial"/>
            <w:color w:val="auto"/>
            <w:sz w:val="20"/>
            <w:szCs w:val="20"/>
            <w:u w:val="none"/>
          </w:rPr>
          <w:t>goettingen.de/en/60864.html</w:t>
        </w:r>
      </w:hyperlink>
      <w:r w:rsidRPr="009E4713">
        <w:rPr>
          <w:rFonts w:ascii="Arial" w:hAnsi="Arial" w:cs="Arial"/>
          <w:sz w:val="20"/>
          <w:szCs w:val="20"/>
        </w:rPr>
        <w:t xml:space="preserve">  </w:t>
      </w:r>
    </w:p>
    <w:p w:rsidR="00FF14C5" w:rsidRPr="009E4713" w:rsidRDefault="00FF14C5" w:rsidP="009E4713">
      <w:pPr>
        <w:spacing w:line="320" w:lineRule="exact"/>
        <w:jc w:val="both"/>
        <w:rPr>
          <w:rFonts w:ascii="Arial" w:hAnsi="Arial" w:cs="Arial"/>
          <w:sz w:val="20"/>
          <w:szCs w:val="20"/>
        </w:rPr>
      </w:pPr>
      <w:r w:rsidRPr="009E4713">
        <w:rPr>
          <w:rFonts w:ascii="Arial" w:hAnsi="Arial" w:cs="Arial"/>
          <w:sz w:val="20"/>
          <w:szCs w:val="20"/>
        </w:rPr>
        <w:t>M</w:t>
      </w:r>
      <w:r w:rsidR="008E6638" w:rsidRPr="009E4713">
        <w:rPr>
          <w:rFonts w:ascii="Arial" w:hAnsi="Arial" w:cs="Arial"/>
          <w:sz w:val="20"/>
          <w:szCs w:val="20"/>
        </w:rPr>
        <w:t>eirelles</w:t>
      </w:r>
      <w:r w:rsidR="00C6795F" w:rsidRPr="009E4713">
        <w:rPr>
          <w:rFonts w:ascii="Arial" w:hAnsi="Arial" w:cs="Arial"/>
          <w:sz w:val="20"/>
          <w:szCs w:val="20"/>
        </w:rPr>
        <w:t>, Hely Lopes</w:t>
      </w:r>
      <w:r w:rsidRPr="009E4713">
        <w:rPr>
          <w:rFonts w:ascii="Arial" w:hAnsi="Arial" w:cs="Arial"/>
          <w:sz w:val="20"/>
          <w:szCs w:val="20"/>
        </w:rPr>
        <w:t xml:space="preserve"> (1996), </w:t>
      </w:r>
      <w:r w:rsidRPr="009E4713">
        <w:rPr>
          <w:rFonts w:ascii="Arial" w:hAnsi="Arial" w:cs="Arial"/>
          <w:i/>
          <w:iCs/>
          <w:sz w:val="20"/>
          <w:szCs w:val="20"/>
        </w:rPr>
        <w:t xml:space="preserve">Direito Administrativo brasileiro, </w:t>
      </w:r>
      <w:r w:rsidRPr="009E4713">
        <w:rPr>
          <w:rFonts w:ascii="Arial" w:hAnsi="Arial" w:cs="Arial"/>
          <w:iCs/>
          <w:sz w:val="20"/>
          <w:szCs w:val="20"/>
        </w:rPr>
        <w:t xml:space="preserve">São Paulo, </w:t>
      </w:r>
      <w:r w:rsidRPr="009E4713">
        <w:rPr>
          <w:rFonts w:ascii="Arial" w:hAnsi="Arial" w:cs="Arial"/>
          <w:sz w:val="20"/>
          <w:szCs w:val="20"/>
        </w:rPr>
        <w:t>Malheiros</w:t>
      </w:r>
    </w:p>
    <w:p w:rsidR="00FF14C5" w:rsidRPr="009E4713" w:rsidRDefault="00FF14C5" w:rsidP="009E4713">
      <w:pPr>
        <w:spacing w:line="320" w:lineRule="exact"/>
        <w:ind w:left="426" w:hanging="426"/>
        <w:jc w:val="both"/>
        <w:rPr>
          <w:rFonts w:ascii="Arial" w:hAnsi="Arial" w:cs="Arial"/>
          <w:sz w:val="20"/>
          <w:szCs w:val="20"/>
          <w:lang w:val="en-US"/>
        </w:rPr>
      </w:pPr>
      <w:r w:rsidRPr="009E4713">
        <w:rPr>
          <w:rFonts w:ascii="Arial" w:hAnsi="Arial" w:cs="Arial"/>
          <w:sz w:val="20"/>
          <w:szCs w:val="20"/>
          <w:lang w:val="en-US"/>
        </w:rPr>
        <w:t>M</w:t>
      </w:r>
      <w:r w:rsidR="008E6638" w:rsidRPr="009E4713">
        <w:rPr>
          <w:rFonts w:ascii="Arial" w:hAnsi="Arial" w:cs="Arial"/>
          <w:sz w:val="20"/>
          <w:szCs w:val="20"/>
          <w:lang w:val="en-US"/>
        </w:rPr>
        <w:t>oro</w:t>
      </w:r>
      <w:r w:rsidR="00C6795F" w:rsidRPr="009E4713">
        <w:rPr>
          <w:rFonts w:ascii="Arial" w:hAnsi="Arial" w:cs="Arial"/>
          <w:sz w:val="20"/>
          <w:szCs w:val="20"/>
          <w:lang w:val="en-US"/>
        </w:rPr>
        <w:t>, Giovanni</w:t>
      </w:r>
      <w:r w:rsidRPr="009E4713">
        <w:rPr>
          <w:rFonts w:ascii="Arial" w:hAnsi="Arial" w:cs="Arial"/>
          <w:sz w:val="20"/>
          <w:szCs w:val="20"/>
          <w:lang w:val="en-US"/>
        </w:rPr>
        <w:t xml:space="preserve"> (2002), “The citizen’s side of governance”, </w:t>
      </w:r>
      <w:r w:rsidRPr="009E4713">
        <w:rPr>
          <w:rFonts w:ascii="Arial" w:hAnsi="Arial" w:cs="Arial"/>
          <w:i/>
          <w:iCs/>
          <w:sz w:val="20"/>
          <w:szCs w:val="20"/>
          <w:lang w:val="en-US"/>
        </w:rPr>
        <w:t xml:space="preserve">Journal of Corporate Citizenship. </w:t>
      </w:r>
      <w:r w:rsidRPr="009E4713">
        <w:rPr>
          <w:rFonts w:ascii="Arial" w:hAnsi="Arial" w:cs="Arial"/>
          <w:iCs/>
          <w:sz w:val="20"/>
          <w:szCs w:val="20"/>
          <w:lang w:val="en-US"/>
        </w:rPr>
        <w:t>7</w:t>
      </w:r>
    </w:p>
    <w:p w:rsidR="00FF14C5" w:rsidRPr="009E4713" w:rsidRDefault="001231E5" w:rsidP="009E4713">
      <w:pPr>
        <w:spacing w:line="320" w:lineRule="exact"/>
        <w:ind w:left="426" w:hanging="426"/>
        <w:jc w:val="both"/>
        <w:rPr>
          <w:rFonts w:ascii="Arial" w:hAnsi="Arial" w:cs="Arial"/>
          <w:sz w:val="20"/>
          <w:szCs w:val="20"/>
        </w:rPr>
      </w:pPr>
      <w:r w:rsidRPr="009E4713">
        <w:rPr>
          <w:rFonts w:ascii="Arial" w:hAnsi="Arial" w:cs="Arial"/>
          <w:sz w:val="20"/>
          <w:szCs w:val="20"/>
        </w:rPr>
        <w:t>Mozzicafreddo</w:t>
      </w:r>
      <w:r w:rsidR="007941FF" w:rsidRPr="009E4713">
        <w:rPr>
          <w:rFonts w:ascii="Arial" w:hAnsi="Arial" w:cs="Arial"/>
          <w:sz w:val="20"/>
          <w:szCs w:val="20"/>
        </w:rPr>
        <w:t>, Juan P. (1994</w:t>
      </w:r>
      <w:r w:rsidR="00FF14C5" w:rsidRPr="009E4713">
        <w:rPr>
          <w:rFonts w:ascii="Arial" w:hAnsi="Arial" w:cs="Arial"/>
          <w:sz w:val="20"/>
          <w:szCs w:val="20"/>
        </w:rPr>
        <w:t xml:space="preserve">), “O </w:t>
      </w:r>
      <w:r w:rsidR="00A22B90" w:rsidRPr="009E4713">
        <w:rPr>
          <w:rFonts w:ascii="Arial" w:hAnsi="Arial" w:cs="Arial"/>
          <w:sz w:val="20"/>
          <w:szCs w:val="20"/>
        </w:rPr>
        <w:t>Estado-providência</w:t>
      </w:r>
      <w:r w:rsidR="00FF14C5" w:rsidRPr="009E4713">
        <w:rPr>
          <w:rFonts w:ascii="Arial" w:hAnsi="Arial" w:cs="Arial"/>
          <w:sz w:val="20"/>
          <w:szCs w:val="20"/>
        </w:rPr>
        <w:t xml:space="preserve"> em transição”</w:t>
      </w:r>
      <w:r w:rsidR="00FF14C5" w:rsidRPr="009E4713">
        <w:rPr>
          <w:rFonts w:ascii="Arial" w:hAnsi="Arial" w:cs="Arial"/>
          <w:i/>
          <w:sz w:val="20"/>
          <w:szCs w:val="20"/>
        </w:rPr>
        <w:t xml:space="preserve">, </w:t>
      </w:r>
      <w:r w:rsidR="00FF14C5" w:rsidRPr="009E4713">
        <w:rPr>
          <w:rFonts w:ascii="Arial" w:hAnsi="Arial" w:cs="Arial"/>
          <w:i/>
          <w:iCs/>
          <w:sz w:val="20"/>
          <w:szCs w:val="20"/>
        </w:rPr>
        <w:t>Sociologia, Problemas e Práticas</w:t>
      </w:r>
      <w:r w:rsidR="00FF14C5" w:rsidRPr="009E4713">
        <w:rPr>
          <w:rFonts w:ascii="Arial" w:hAnsi="Arial" w:cs="Arial"/>
          <w:sz w:val="20"/>
          <w:szCs w:val="20"/>
        </w:rPr>
        <w:t xml:space="preserve">, </w:t>
      </w:r>
      <w:r w:rsidR="00A67054" w:rsidRPr="009E4713">
        <w:rPr>
          <w:rFonts w:ascii="Arial" w:hAnsi="Arial" w:cs="Arial"/>
          <w:sz w:val="20"/>
          <w:szCs w:val="20"/>
        </w:rPr>
        <w:t xml:space="preserve">16 </w:t>
      </w:r>
      <w:r w:rsidR="00FF14C5" w:rsidRPr="009E4713">
        <w:rPr>
          <w:rFonts w:ascii="Arial" w:hAnsi="Arial" w:cs="Arial"/>
          <w:sz w:val="20"/>
          <w:szCs w:val="20"/>
        </w:rPr>
        <w:t xml:space="preserve"> </w:t>
      </w:r>
    </w:p>
    <w:p w:rsidR="00FF14C5" w:rsidRPr="009E4713" w:rsidRDefault="001231E5" w:rsidP="009E4713">
      <w:pPr>
        <w:spacing w:line="320" w:lineRule="exact"/>
        <w:ind w:left="426" w:hanging="426"/>
        <w:jc w:val="both"/>
        <w:rPr>
          <w:rFonts w:ascii="Arial" w:hAnsi="Arial" w:cs="Arial"/>
          <w:sz w:val="20"/>
          <w:szCs w:val="20"/>
        </w:rPr>
      </w:pPr>
      <w:r w:rsidRPr="009E4713">
        <w:rPr>
          <w:rFonts w:ascii="Arial" w:hAnsi="Arial" w:cs="Arial"/>
          <w:sz w:val="20"/>
          <w:szCs w:val="20"/>
        </w:rPr>
        <w:t>Mozzicafreddo</w:t>
      </w:r>
      <w:r w:rsidR="00177B1F" w:rsidRPr="009E4713">
        <w:rPr>
          <w:rFonts w:ascii="Arial" w:hAnsi="Arial" w:cs="Arial"/>
          <w:sz w:val="20"/>
          <w:szCs w:val="20"/>
        </w:rPr>
        <w:t>, Juan P. (1997</w:t>
      </w:r>
      <w:r w:rsidR="00FF14C5" w:rsidRPr="009E4713">
        <w:rPr>
          <w:rFonts w:ascii="Arial" w:hAnsi="Arial" w:cs="Arial"/>
          <w:sz w:val="20"/>
          <w:szCs w:val="20"/>
        </w:rPr>
        <w:t>)</w:t>
      </w:r>
      <w:r w:rsidR="00C6795F" w:rsidRPr="009E4713">
        <w:rPr>
          <w:rFonts w:ascii="Arial" w:hAnsi="Arial" w:cs="Arial"/>
          <w:sz w:val="20"/>
          <w:szCs w:val="20"/>
        </w:rPr>
        <w:t>,</w:t>
      </w:r>
      <w:r w:rsidR="00FF14C5" w:rsidRPr="009E4713">
        <w:rPr>
          <w:rFonts w:ascii="Arial" w:hAnsi="Arial" w:cs="Arial"/>
          <w:sz w:val="20"/>
          <w:szCs w:val="20"/>
        </w:rPr>
        <w:t xml:space="preserve"> </w:t>
      </w:r>
      <w:r w:rsidR="00A22B90" w:rsidRPr="009E4713">
        <w:rPr>
          <w:rFonts w:ascii="Arial" w:hAnsi="Arial" w:cs="Arial"/>
          <w:i/>
          <w:iCs/>
          <w:sz w:val="20"/>
          <w:szCs w:val="20"/>
        </w:rPr>
        <w:t>Estado-providência</w:t>
      </w:r>
      <w:r w:rsidR="00FF14C5" w:rsidRPr="009E4713">
        <w:rPr>
          <w:rFonts w:ascii="Arial" w:hAnsi="Arial" w:cs="Arial"/>
          <w:i/>
          <w:iCs/>
          <w:sz w:val="20"/>
          <w:szCs w:val="20"/>
        </w:rPr>
        <w:t xml:space="preserve"> e Cidadania em Portugal,</w:t>
      </w:r>
      <w:r w:rsidR="00FF14C5" w:rsidRPr="009E4713">
        <w:rPr>
          <w:rFonts w:ascii="Arial" w:hAnsi="Arial" w:cs="Arial"/>
          <w:sz w:val="20"/>
          <w:szCs w:val="20"/>
        </w:rPr>
        <w:t xml:space="preserve"> Oeiras, Celta Editora</w:t>
      </w:r>
    </w:p>
    <w:p w:rsidR="00FF14C5" w:rsidRPr="009E4713" w:rsidRDefault="008E6638" w:rsidP="009E4713">
      <w:pPr>
        <w:autoSpaceDE w:val="0"/>
        <w:autoSpaceDN w:val="0"/>
        <w:adjustRightInd w:val="0"/>
        <w:spacing w:line="320" w:lineRule="exact"/>
        <w:ind w:left="426" w:hanging="426"/>
        <w:jc w:val="both"/>
        <w:rPr>
          <w:rStyle w:val="nfase"/>
          <w:rFonts w:ascii="Arial" w:hAnsi="Arial" w:cs="Arial"/>
          <w:i w:val="0"/>
          <w:sz w:val="20"/>
          <w:szCs w:val="20"/>
        </w:rPr>
      </w:pPr>
      <w:r w:rsidRPr="009E4713">
        <w:rPr>
          <w:rStyle w:val="nfase"/>
          <w:rFonts w:ascii="Arial" w:hAnsi="Arial" w:cs="Arial"/>
          <w:i w:val="0"/>
          <w:sz w:val="20"/>
          <w:szCs w:val="20"/>
        </w:rPr>
        <w:t>Nossa Comunidade Global</w:t>
      </w:r>
      <w:r w:rsidR="00FF14C5" w:rsidRPr="009E4713">
        <w:rPr>
          <w:rStyle w:val="nfase"/>
          <w:rFonts w:ascii="Arial" w:hAnsi="Arial" w:cs="Arial"/>
          <w:i w:val="0"/>
          <w:sz w:val="20"/>
          <w:szCs w:val="20"/>
        </w:rPr>
        <w:t xml:space="preserve">. </w:t>
      </w:r>
      <w:r w:rsidR="00177B1F" w:rsidRPr="009E4713">
        <w:rPr>
          <w:rStyle w:val="nfase"/>
          <w:rFonts w:ascii="Arial" w:hAnsi="Arial" w:cs="Arial"/>
          <w:i w:val="0"/>
          <w:sz w:val="20"/>
          <w:szCs w:val="20"/>
        </w:rPr>
        <w:t xml:space="preserve">(1996), </w:t>
      </w:r>
      <w:r w:rsidR="00FF14C5" w:rsidRPr="009E4713">
        <w:rPr>
          <w:rStyle w:val="nfase"/>
          <w:rFonts w:ascii="Arial" w:hAnsi="Arial" w:cs="Arial"/>
          <w:sz w:val="20"/>
          <w:szCs w:val="20"/>
        </w:rPr>
        <w:t>Relatório da Comissão sobre Governança Global</w:t>
      </w:r>
      <w:r w:rsidR="00177B1F" w:rsidRPr="009E4713">
        <w:rPr>
          <w:rStyle w:val="nfase"/>
          <w:rFonts w:ascii="Arial" w:hAnsi="Arial" w:cs="Arial"/>
          <w:i w:val="0"/>
          <w:sz w:val="20"/>
          <w:szCs w:val="20"/>
        </w:rPr>
        <w:t>,</w:t>
      </w:r>
      <w:r w:rsidR="00FF14C5" w:rsidRPr="009E4713">
        <w:rPr>
          <w:rStyle w:val="nfase"/>
          <w:rFonts w:ascii="Arial" w:hAnsi="Arial" w:cs="Arial"/>
          <w:i w:val="0"/>
          <w:sz w:val="20"/>
          <w:szCs w:val="20"/>
        </w:rPr>
        <w:t xml:space="preserve"> Rio de Janeiro, FGV</w:t>
      </w:r>
    </w:p>
    <w:p w:rsidR="00FF14C5" w:rsidRPr="009E4713" w:rsidRDefault="008E6638" w:rsidP="009E4713">
      <w:pPr>
        <w:autoSpaceDE w:val="0"/>
        <w:autoSpaceDN w:val="0"/>
        <w:adjustRightInd w:val="0"/>
        <w:spacing w:line="320" w:lineRule="exact"/>
        <w:jc w:val="both"/>
        <w:rPr>
          <w:rFonts w:ascii="Arial" w:hAnsi="Arial" w:cs="Arial"/>
          <w:i/>
          <w:sz w:val="20"/>
          <w:szCs w:val="20"/>
        </w:rPr>
      </w:pPr>
      <w:r w:rsidRPr="009E4713">
        <w:rPr>
          <w:rFonts w:ascii="Arial" w:hAnsi="Arial" w:cs="Arial"/>
          <w:sz w:val="20"/>
          <w:szCs w:val="20"/>
        </w:rPr>
        <w:t>Organização Mundial do Turismo</w:t>
      </w:r>
      <w:r w:rsidR="00FF14C5" w:rsidRPr="009E4713">
        <w:rPr>
          <w:rFonts w:ascii="Arial" w:hAnsi="Arial" w:cs="Arial"/>
          <w:sz w:val="20"/>
          <w:szCs w:val="20"/>
        </w:rPr>
        <w:t xml:space="preserve"> (2007</w:t>
      </w:r>
      <w:r w:rsidR="008044EE" w:rsidRPr="009E4713">
        <w:rPr>
          <w:rFonts w:ascii="Arial" w:hAnsi="Arial" w:cs="Arial"/>
          <w:i/>
          <w:sz w:val="20"/>
          <w:szCs w:val="20"/>
        </w:rPr>
        <w:t xml:space="preserve">) código de ética do turismo; </w:t>
      </w:r>
      <w:r w:rsidR="007E14C2" w:rsidRPr="009E4713">
        <w:rPr>
          <w:rFonts w:ascii="Arial" w:hAnsi="Arial" w:cs="Arial"/>
          <w:sz w:val="20"/>
          <w:szCs w:val="20"/>
        </w:rPr>
        <w:t>Chile, OMT</w:t>
      </w:r>
    </w:p>
    <w:p w:rsidR="008044EE" w:rsidRPr="009E4713" w:rsidRDefault="008044EE" w:rsidP="009E4713">
      <w:pPr>
        <w:spacing w:line="320" w:lineRule="exact"/>
        <w:ind w:left="426" w:hanging="426"/>
        <w:jc w:val="both"/>
        <w:rPr>
          <w:rFonts w:ascii="Arial" w:hAnsi="Arial" w:cs="Arial"/>
          <w:sz w:val="20"/>
          <w:szCs w:val="20"/>
        </w:rPr>
      </w:pPr>
      <w:r w:rsidRPr="009E4713">
        <w:rPr>
          <w:rFonts w:ascii="Arial" w:hAnsi="Arial" w:cs="Arial"/>
          <w:sz w:val="20"/>
          <w:szCs w:val="20"/>
        </w:rPr>
        <w:t xml:space="preserve">Organização Mundial do Turismo </w:t>
      </w:r>
      <w:r w:rsidR="00C6795F" w:rsidRPr="009E4713">
        <w:rPr>
          <w:rFonts w:ascii="Arial" w:hAnsi="Arial" w:cs="Arial"/>
          <w:sz w:val="20"/>
          <w:szCs w:val="20"/>
        </w:rPr>
        <w:t>(</w:t>
      </w:r>
      <w:r w:rsidRPr="009E4713">
        <w:rPr>
          <w:rFonts w:ascii="Arial" w:hAnsi="Arial" w:cs="Arial"/>
          <w:sz w:val="20"/>
          <w:szCs w:val="20"/>
        </w:rPr>
        <w:t>2005)</w:t>
      </w:r>
      <w:r w:rsidR="00C6795F" w:rsidRPr="009E4713">
        <w:rPr>
          <w:rFonts w:ascii="Arial" w:hAnsi="Arial" w:cs="Arial"/>
          <w:sz w:val="20"/>
          <w:szCs w:val="20"/>
        </w:rPr>
        <w:t>,</w:t>
      </w:r>
      <w:r w:rsidRPr="009E4713">
        <w:rPr>
          <w:rFonts w:ascii="Arial" w:hAnsi="Arial" w:cs="Arial"/>
          <w:sz w:val="20"/>
          <w:szCs w:val="20"/>
        </w:rPr>
        <w:t xml:space="preserve"> </w:t>
      </w:r>
      <w:r w:rsidRPr="009E4713">
        <w:rPr>
          <w:rFonts w:ascii="Arial" w:hAnsi="Arial" w:cs="Arial"/>
          <w:i/>
          <w:sz w:val="20"/>
          <w:szCs w:val="20"/>
        </w:rPr>
        <w:t>Desenvolvimento Sustentável do Turismo: uma compilação de boas práticas</w:t>
      </w:r>
      <w:r w:rsidR="00C6795F" w:rsidRPr="009E4713">
        <w:rPr>
          <w:rFonts w:ascii="Arial" w:hAnsi="Arial" w:cs="Arial"/>
          <w:sz w:val="20"/>
          <w:szCs w:val="20"/>
        </w:rPr>
        <w:t xml:space="preserve">, São Paulo, </w:t>
      </w:r>
      <w:r w:rsidRPr="009E4713">
        <w:rPr>
          <w:rFonts w:ascii="Arial" w:hAnsi="Arial" w:cs="Arial"/>
          <w:sz w:val="20"/>
          <w:szCs w:val="20"/>
        </w:rPr>
        <w:t xml:space="preserve">Ed. Roca. </w:t>
      </w:r>
    </w:p>
    <w:p w:rsidR="00FF14C5" w:rsidRPr="009E4713" w:rsidRDefault="00FF14C5" w:rsidP="009E4713">
      <w:pPr>
        <w:autoSpaceDE w:val="0"/>
        <w:autoSpaceDN w:val="0"/>
        <w:adjustRightInd w:val="0"/>
        <w:spacing w:line="320" w:lineRule="exact"/>
        <w:ind w:left="426" w:hanging="426"/>
        <w:jc w:val="both"/>
        <w:rPr>
          <w:rFonts w:ascii="Arial" w:hAnsi="Arial" w:cs="Arial"/>
          <w:bCs/>
          <w:i/>
          <w:sz w:val="20"/>
          <w:szCs w:val="20"/>
        </w:rPr>
      </w:pPr>
      <w:r w:rsidRPr="009E4713">
        <w:rPr>
          <w:rStyle w:val="nfase"/>
          <w:rFonts w:ascii="Arial" w:hAnsi="Arial" w:cs="Arial"/>
          <w:i w:val="0"/>
          <w:sz w:val="20"/>
          <w:szCs w:val="20"/>
        </w:rPr>
        <w:lastRenderedPageBreak/>
        <w:t>P</w:t>
      </w:r>
      <w:r w:rsidR="008E6638" w:rsidRPr="009E4713">
        <w:rPr>
          <w:rStyle w:val="nfase"/>
          <w:rFonts w:ascii="Arial" w:hAnsi="Arial" w:cs="Arial"/>
          <w:i w:val="0"/>
          <w:sz w:val="20"/>
          <w:szCs w:val="20"/>
        </w:rPr>
        <w:t>ereira</w:t>
      </w:r>
      <w:r w:rsidRPr="009E4713">
        <w:rPr>
          <w:rStyle w:val="nfase"/>
          <w:rFonts w:ascii="Arial" w:hAnsi="Arial" w:cs="Arial"/>
          <w:i w:val="0"/>
          <w:sz w:val="20"/>
          <w:szCs w:val="20"/>
        </w:rPr>
        <w:t xml:space="preserve">, Luiz Carlos Bresser (1998), “Reforma do Estado e Administração Pública Gerencial”, </w:t>
      </w:r>
      <w:smartTag w:uri="urn:schemas-microsoft-com:office:smarttags" w:element="PersonName">
        <w:smartTagPr>
          <w:attr w:name="ProductID" w:val="em Bresser Pereira"/>
        </w:smartTagPr>
        <w:r w:rsidRPr="009E4713">
          <w:rPr>
            <w:rStyle w:val="nfase"/>
            <w:rFonts w:ascii="Arial" w:hAnsi="Arial" w:cs="Arial"/>
            <w:i w:val="0"/>
            <w:sz w:val="20"/>
            <w:szCs w:val="20"/>
          </w:rPr>
          <w:t>em Bresser Pereira</w:t>
        </w:r>
      </w:smartTag>
      <w:r w:rsidR="00C6795F" w:rsidRPr="009E4713">
        <w:rPr>
          <w:rStyle w:val="nfase"/>
          <w:rFonts w:ascii="Arial" w:hAnsi="Arial" w:cs="Arial"/>
          <w:i w:val="0"/>
          <w:sz w:val="20"/>
          <w:szCs w:val="20"/>
        </w:rPr>
        <w:t xml:space="preserve"> e Sping (orgs.),</w:t>
      </w:r>
      <w:r w:rsidRPr="009E4713">
        <w:rPr>
          <w:rStyle w:val="nfase"/>
          <w:rFonts w:ascii="Arial" w:hAnsi="Arial" w:cs="Arial"/>
          <w:i w:val="0"/>
          <w:sz w:val="20"/>
          <w:szCs w:val="20"/>
        </w:rPr>
        <w:t xml:space="preserve"> </w:t>
      </w:r>
      <w:r w:rsidRPr="009E4713">
        <w:rPr>
          <w:rStyle w:val="nfase"/>
          <w:rFonts w:ascii="Arial" w:hAnsi="Arial" w:cs="Arial"/>
          <w:sz w:val="20"/>
          <w:szCs w:val="20"/>
        </w:rPr>
        <w:t>Revista do Serviço Público</w:t>
      </w:r>
      <w:r w:rsidRPr="009E4713">
        <w:rPr>
          <w:rStyle w:val="nfase"/>
          <w:rFonts w:ascii="Arial" w:hAnsi="Arial" w:cs="Arial"/>
          <w:i w:val="0"/>
          <w:sz w:val="20"/>
          <w:szCs w:val="20"/>
        </w:rPr>
        <w:t xml:space="preserve">, </w:t>
      </w:r>
      <w:r w:rsidR="007E14C2" w:rsidRPr="009E4713">
        <w:rPr>
          <w:rStyle w:val="nfase"/>
          <w:rFonts w:ascii="Arial" w:hAnsi="Arial" w:cs="Arial"/>
          <w:i w:val="0"/>
          <w:sz w:val="20"/>
          <w:szCs w:val="20"/>
        </w:rPr>
        <w:t>47</w:t>
      </w:r>
      <w:r w:rsidRPr="009E4713">
        <w:rPr>
          <w:rStyle w:val="nfase"/>
          <w:rFonts w:ascii="Arial" w:hAnsi="Arial" w:cs="Arial"/>
          <w:i w:val="0"/>
          <w:sz w:val="20"/>
          <w:szCs w:val="20"/>
        </w:rPr>
        <w:t xml:space="preserve"> </w:t>
      </w:r>
      <w:r w:rsidR="00670AB3" w:rsidRPr="009E4713">
        <w:rPr>
          <w:rFonts w:ascii="Arial" w:hAnsi="Arial" w:cs="Arial"/>
          <w:bCs/>
          <w:i/>
          <w:sz w:val="20"/>
          <w:szCs w:val="20"/>
        </w:rPr>
        <w:t xml:space="preserve"> </w:t>
      </w:r>
    </w:p>
    <w:p w:rsidR="00FF14C5" w:rsidRPr="009E4713" w:rsidRDefault="008E6638" w:rsidP="009E4713">
      <w:pPr>
        <w:autoSpaceDE w:val="0"/>
        <w:autoSpaceDN w:val="0"/>
        <w:adjustRightInd w:val="0"/>
        <w:spacing w:line="320" w:lineRule="exact"/>
        <w:ind w:left="426" w:hanging="426"/>
        <w:jc w:val="both"/>
        <w:rPr>
          <w:rFonts w:ascii="Arial" w:hAnsi="Arial" w:cs="Arial"/>
          <w:bCs/>
          <w:sz w:val="20"/>
          <w:szCs w:val="20"/>
        </w:rPr>
      </w:pPr>
      <w:r w:rsidRPr="009E4713">
        <w:rPr>
          <w:rStyle w:val="nfase"/>
          <w:rFonts w:ascii="Arial" w:hAnsi="Arial" w:cs="Arial"/>
          <w:i w:val="0"/>
          <w:sz w:val="20"/>
          <w:szCs w:val="20"/>
        </w:rPr>
        <w:t>Pereira</w:t>
      </w:r>
      <w:r w:rsidR="0076112F" w:rsidRPr="009E4713">
        <w:rPr>
          <w:rFonts w:ascii="Arial" w:hAnsi="Arial" w:cs="Arial"/>
          <w:bCs/>
          <w:sz w:val="20"/>
          <w:szCs w:val="20"/>
        </w:rPr>
        <w:t>, José Matias</w:t>
      </w:r>
      <w:r w:rsidR="00FF14C5" w:rsidRPr="009E4713">
        <w:rPr>
          <w:rFonts w:ascii="Arial" w:hAnsi="Arial" w:cs="Arial"/>
          <w:bCs/>
          <w:sz w:val="20"/>
          <w:szCs w:val="20"/>
        </w:rPr>
        <w:t xml:space="preserve"> (2008)</w:t>
      </w:r>
      <w:r w:rsidR="0076112F" w:rsidRPr="009E4713">
        <w:rPr>
          <w:rFonts w:ascii="Arial" w:hAnsi="Arial" w:cs="Arial"/>
          <w:bCs/>
          <w:sz w:val="20"/>
          <w:szCs w:val="20"/>
        </w:rPr>
        <w:t>,</w:t>
      </w:r>
      <w:r w:rsidR="00FF14C5" w:rsidRPr="009E4713">
        <w:rPr>
          <w:rFonts w:ascii="Arial" w:hAnsi="Arial" w:cs="Arial"/>
          <w:bCs/>
          <w:sz w:val="20"/>
          <w:szCs w:val="20"/>
        </w:rPr>
        <w:t xml:space="preserve"> “Administração pública comparada: uma avaliação das reformas administrativ</w:t>
      </w:r>
      <w:r w:rsidR="00177B1F" w:rsidRPr="009E4713">
        <w:rPr>
          <w:rFonts w:ascii="Arial" w:hAnsi="Arial" w:cs="Arial"/>
          <w:bCs/>
          <w:sz w:val="20"/>
          <w:szCs w:val="20"/>
        </w:rPr>
        <w:t>as do Brasil, EUA e União Europe</w:t>
      </w:r>
      <w:r w:rsidR="00FF14C5" w:rsidRPr="009E4713">
        <w:rPr>
          <w:rFonts w:ascii="Arial" w:hAnsi="Arial" w:cs="Arial"/>
          <w:bCs/>
          <w:sz w:val="20"/>
          <w:szCs w:val="20"/>
        </w:rPr>
        <w:t xml:space="preserve">ia”, </w:t>
      </w:r>
      <w:r w:rsidR="00FF14C5" w:rsidRPr="009E4713">
        <w:rPr>
          <w:rFonts w:ascii="Arial" w:hAnsi="Arial" w:cs="Arial"/>
          <w:bCs/>
          <w:i/>
          <w:sz w:val="20"/>
          <w:szCs w:val="20"/>
        </w:rPr>
        <w:t>Revista de Administração Pública,</w:t>
      </w:r>
      <w:r w:rsidR="00670AB3" w:rsidRPr="009E4713">
        <w:rPr>
          <w:rFonts w:ascii="Arial" w:hAnsi="Arial" w:cs="Arial"/>
          <w:bCs/>
          <w:i/>
          <w:sz w:val="20"/>
          <w:szCs w:val="20"/>
        </w:rPr>
        <w:t xml:space="preserve"> </w:t>
      </w:r>
      <w:r w:rsidR="00670AB3" w:rsidRPr="009E4713">
        <w:rPr>
          <w:rFonts w:ascii="Arial" w:hAnsi="Arial" w:cs="Arial"/>
          <w:bCs/>
          <w:sz w:val="20"/>
          <w:szCs w:val="20"/>
        </w:rPr>
        <w:t>42</w:t>
      </w:r>
    </w:p>
    <w:p w:rsidR="00FF14C5" w:rsidRPr="009E4713" w:rsidRDefault="008E6638" w:rsidP="009E4713">
      <w:pPr>
        <w:autoSpaceDE w:val="0"/>
        <w:autoSpaceDN w:val="0"/>
        <w:adjustRightInd w:val="0"/>
        <w:spacing w:line="320" w:lineRule="exact"/>
        <w:ind w:left="426" w:hanging="426"/>
        <w:jc w:val="both"/>
        <w:rPr>
          <w:rFonts w:ascii="Arial" w:hAnsi="Arial" w:cs="Arial"/>
          <w:sz w:val="20"/>
          <w:szCs w:val="20"/>
        </w:rPr>
      </w:pPr>
      <w:r w:rsidRPr="009E4713">
        <w:rPr>
          <w:rStyle w:val="nfase"/>
          <w:rFonts w:ascii="Arial" w:hAnsi="Arial" w:cs="Arial"/>
          <w:i w:val="0"/>
          <w:sz w:val="20"/>
          <w:szCs w:val="20"/>
        </w:rPr>
        <w:t>Pereira</w:t>
      </w:r>
      <w:r w:rsidR="00FF14C5" w:rsidRPr="009E4713">
        <w:rPr>
          <w:rFonts w:ascii="Arial" w:hAnsi="Arial" w:cs="Arial"/>
          <w:sz w:val="20"/>
          <w:szCs w:val="20"/>
        </w:rPr>
        <w:t xml:space="preserve">, </w:t>
      </w:r>
      <w:smartTag w:uri="urn:schemas-microsoft-com:office:smarttags" w:element="PersonName">
        <w:smartTagPr>
          <w:attr w:name="ProductID" w:val="Carlos Eduardo"/>
        </w:smartTagPr>
        <w:r w:rsidR="00FF14C5" w:rsidRPr="009E4713">
          <w:rPr>
            <w:rFonts w:ascii="Arial" w:hAnsi="Arial" w:cs="Arial"/>
            <w:sz w:val="20"/>
            <w:szCs w:val="20"/>
          </w:rPr>
          <w:t>Carlos Eduardo</w:t>
        </w:r>
      </w:smartTag>
      <w:r w:rsidR="0076112F" w:rsidRPr="009E4713">
        <w:rPr>
          <w:rFonts w:ascii="Arial" w:hAnsi="Arial" w:cs="Arial"/>
          <w:sz w:val="20"/>
          <w:szCs w:val="20"/>
        </w:rPr>
        <w:t xml:space="preserve"> de Queiroz</w:t>
      </w:r>
      <w:r w:rsidR="00FF14C5" w:rsidRPr="009E4713">
        <w:rPr>
          <w:rFonts w:ascii="Arial" w:hAnsi="Arial" w:cs="Arial"/>
          <w:sz w:val="20"/>
          <w:szCs w:val="20"/>
        </w:rPr>
        <w:t xml:space="preserve"> (2006), </w:t>
      </w:r>
      <w:r w:rsidR="00FF14C5" w:rsidRPr="009E4713">
        <w:rPr>
          <w:rFonts w:ascii="Arial" w:hAnsi="Arial" w:cs="Arial"/>
          <w:i/>
          <w:sz w:val="20"/>
          <w:szCs w:val="20"/>
        </w:rPr>
        <w:t>Parcerias público-privadas – novo modelo brasileiro de concessão de serviços públicos e novos desafios para o controle</w:t>
      </w:r>
      <w:r w:rsidR="00FF14C5" w:rsidRPr="009E4713">
        <w:rPr>
          <w:rFonts w:ascii="Arial" w:hAnsi="Arial" w:cs="Arial"/>
          <w:sz w:val="20"/>
          <w:szCs w:val="20"/>
        </w:rPr>
        <w:t xml:space="preserve">, Dissertação de pós-graduação </w:t>
      </w:r>
      <w:r w:rsidR="00FF14C5" w:rsidRPr="009E4713">
        <w:rPr>
          <w:rFonts w:ascii="Arial" w:hAnsi="Arial" w:cs="Arial"/>
          <w:i/>
          <w:iCs/>
          <w:sz w:val="20"/>
          <w:szCs w:val="20"/>
        </w:rPr>
        <w:t xml:space="preserve">latu senso </w:t>
      </w:r>
      <w:smartTag w:uri="urn:schemas-microsoft-com:office:smarttags" w:element="PersonName">
        <w:smartTagPr>
          <w:attr w:name="ProductID" w:val="em Direito P￺blico"/>
        </w:smartTagPr>
        <w:r w:rsidR="00FF14C5" w:rsidRPr="009E4713">
          <w:rPr>
            <w:rFonts w:ascii="Arial" w:hAnsi="Arial" w:cs="Arial"/>
            <w:sz w:val="20"/>
            <w:szCs w:val="20"/>
          </w:rPr>
          <w:t>em Direito Público</w:t>
        </w:r>
      </w:smartTag>
      <w:r w:rsidR="00FF14C5" w:rsidRPr="009E4713">
        <w:rPr>
          <w:rFonts w:ascii="Arial" w:hAnsi="Arial" w:cs="Arial"/>
          <w:sz w:val="20"/>
          <w:szCs w:val="20"/>
        </w:rPr>
        <w:t xml:space="preserve"> e Controle Externo</w:t>
      </w:r>
      <w:r w:rsidR="0076112F" w:rsidRPr="009E4713">
        <w:rPr>
          <w:rFonts w:ascii="Arial" w:hAnsi="Arial" w:cs="Arial"/>
          <w:sz w:val="20"/>
          <w:szCs w:val="20"/>
        </w:rPr>
        <w:t>,</w:t>
      </w:r>
      <w:r w:rsidR="00FF14C5" w:rsidRPr="009E4713">
        <w:rPr>
          <w:rFonts w:ascii="Arial" w:hAnsi="Arial" w:cs="Arial"/>
          <w:sz w:val="20"/>
          <w:szCs w:val="20"/>
        </w:rPr>
        <w:t xml:space="preserve"> Brasília, UnB</w:t>
      </w:r>
    </w:p>
    <w:p w:rsidR="00FF14C5" w:rsidRPr="009E4713" w:rsidRDefault="00FF14C5" w:rsidP="009E4713">
      <w:pPr>
        <w:pStyle w:val="Ttulo2"/>
        <w:shd w:val="clear" w:color="auto" w:fill="FFFFFF"/>
        <w:spacing w:before="0" w:beforeAutospacing="0" w:after="0" w:afterAutospacing="0" w:line="320" w:lineRule="exact"/>
        <w:ind w:left="426" w:hanging="426"/>
        <w:jc w:val="both"/>
        <w:rPr>
          <w:rFonts w:ascii="Arial" w:hAnsi="Arial" w:cs="Arial"/>
          <w:b w:val="0"/>
          <w:sz w:val="20"/>
          <w:szCs w:val="20"/>
          <w:lang w:val="en-US"/>
        </w:rPr>
      </w:pPr>
      <w:r w:rsidRPr="009E4713">
        <w:rPr>
          <w:rFonts w:ascii="Arial" w:hAnsi="Arial" w:cs="Arial"/>
          <w:b w:val="0"/>
          <w:sz w:val="20"/>
          <w:szCs w:val="20"/>
          <w:lang w:val="en-US"/>
        </w:rPr>
        <w:t>P</w:t>
      </w:r>
      <w:r w:rsidR="008E6638" w:rsidRPr="009E4713">
        <w:rPr>
          <w:rFonts w:ascii="Arial" w:hAnsi="Arial" w:cs="Arial"/>
          <w:b w:val="0"/>
          <w:sz w:val="20"/>
          <w:szCs w:val="20"/>
          <w:lang w:val="en-US"/>
        </w:rPr>
        <w:t>eters</w:t>
      </w:r>
      <w:r w:rsidR="0076112F" w:rsidRPr="009E4713">
        <w:rPr>
          <w:rFonts w:ascii="Arial" w:hAnsi="Arial" w:cs="Arial"/>
          <w:b w:val="0"/>
          <w:sz w:val="20"/>
          <w:szCs w:val="20"/>
          <w:lang w:val="en-US"/>
        </w:rPr>
        <w:t>, B. Guy</w:t>
      </w:r>
      <w:r w:rsidRPr="009E4713">
        <w:rPr>
          <w:rFonts w:ascii="Arial" w:hAnsi="Arial" w:cs="Arial"/>
          <w:b w:val="0"/>
          <w:sz w:val="20"/>
          <w:szCs w:val="20"/>
          <w:lang w:val="en-US"/>
        </w:rPr>
        <w:t xml:space="preserve"> (1997), “Policy transfers between governments: the case of administrative reforms”, </w:t>
      </w:r>
      <w:r w:rsidRPr="009E4713">
        <w:rPr>
          <w:rFonts w:ascii="Arial" w:hAnsi="Arial" w:cs="Arial"/>
          <w:b w:val="0"/>
          <w:i/>
          <w:sz w:val="20"/>
          <w:szCs w:val="20"/>
          <w:lang w:val="en-US"/>
        </w:rPr>
        <w:t xml:space="preserve">Revista West European Politics, </w:t>
      </w:r>
      <w:r w:rsidR="0076112F" w:rsidRPr="009E4713">
        <w:rPr>
          <w:rFonts w:ascii="Arial" w:hAnsi="Arial" w:cs="Arial"/>
          <w:b w:val="0"/>
          <w:sz w:val="20"/>
          <w:szCs w:val="20"/>
          <w:lang w:val="en-US"/>
        </w:rPr>
        <w:t>01</w:t>
      </w:r>
      <w:r w:rsidRPr="009E4713">
        <w:rPr>
          <w:rFonts w:ascii="Arial" w:hAnsi="Arial" w:cs="Arial"/>
          <w:b w:val="0"/>
          <w:sz w:val="20"/>
          <w:szCs w:val="20"/>
          <w:lang w:val="en-US"/>
        </w:rPr>
        <w:t xml:space="preserve"> </w:t>
      </w:r>
    </w:p>
    <w:p w:rsidR="00E32EE0" w:rsidRPr="009E4713" w:rsidRDefault="00630B77" w:rsidP="009E4713">
      <w:pPr>
        <w:spacing w:line="320" w:lineRule="exact"/>
        <w:ind w:left="426" w:hanging="426"/>
        <w:jc w:val="both"/>
        <w:rPr>
          <w:rFonts w:ascii="Arial" w:hAnsi="Arial" w:cs="Arial"/>
          <w:sz w:val="20"/>
          <w:szCs w:val="20"/>
          <w:lang w:val="en-US"/>
        </w:rPr>
      </w:pPr>
      <w:r w:rsidRPr="009E4713">
        <w:rPr>
          <w:rFonts w:ascii="Arial" w:hAnsi="Arial" w:cs="Arial"/>
          <w:sz w:val="20"/>
          <w:szCs w:val="20"/>
          <w:lang w:val="en-US"/>
        </w:rPr>
        <w:t>Pits</w:t>
      </w:r>
      <w:r w:rsidR="007F6CE2" w:rsidRPr="009E4713">
        <w:rPr>
          <w:rFonts w:ascii="Arial" w:hAnsi="Arial" w:cs="Arial"/>
          <w:sz w:val="20"/>
          <w:szCs w:val="20"/>
          <w:lang w:val="en-US"/>
        </w:rPr>
        <w:t>c</w:t>
      </w:r>
      <w:r w:rsidRPr="009E4713">
        <w:rPr>
          <w:rFonts w:ascii="Arial" w:hAnsi="Arial" w:cs="Arial"/>
          <w:sz w:val="20"/>
          <w:szCs w:val="20"/>
          <w:lang w:val="en-US"/>
        </w:rPr>
        <w:t>has</w:t>
      </w:r>
      <w:r w:rsidR="007F6CE2" w:rsidRPr="009E4713">
        <w:rPr>
          <w:rFonts w:ascii="Arial" w:hAnsi="Arial" w:cs="Arial"/>
          <w:sz w:val="20"/>
          <w:szCs w:val="20"/>
          <w:lang w:val="en-US"/>
        </w:rPr>
        <w:t xml:space="preserve">, </w:t>
      </w:r>
      <w:r w:rsidRPr="009E4713">
        <w:rPr>
          <w:rFonts w:ascii="Arial" w:hAnsi="Arial" w:cs="Arial"/>
          <w:sz w:val="20"/>
          <w:szCs w:val="20"/>
          <w:lang w:val="en-US"/>
        </w:rPr>
        <w:t>Rainer (</w:t>
      </w:r>
      <w:r w:rsidR="007E2AB1" w:rsidRPr="009E4713">
        <w:rPr>
          <w:rFonts w:ascii="Arial" w:hAnsi="Arial" w:cs="Arial"/>
          <w:sz w:val="20"/>
          <w:szCs w:val="20"/>
          <w:lang w:val="en-US"/>
        </w:rPr>
        <w:t xml:space="preserve">1993), "Aspects of Max Weber´s therory on bureaucracy and new public management approach", The indian Journal of public administration, </w:t>
      </w:r>
      <w:r w:rsidR="00E32EE0" w:rsidRPr="009E4713">
        <w:rPr>
          <w:rFonts w:ascii="Arial" w:hAnsi="Arial" w:cs="Arial"/>
          <w:sz w:val="20"/>
          <w:szCs w:val="20"/>
          <w:lang w:val="en-US"/>
        </w:rPr>
        <w:t>34</w:t>
      </w:r>
    </w:p>
    <w:p w:rsidR="007F6CE2" w:rsidRPr="009E4713" w:rsidRDefault="007F6CE2" w:rsidP="009E4713">
      <w:pPr>
        <w:spacing w:line="320" w:lineRule="exact"/>
        <w:ind w:left="426" w:hanging="426"/>
        <w:jc w:val="both"/>
        <w:rPr>
          <w:rFonts w:ascii="Arial" w:hAnsi="Arial" w:cs="Arial"/>
          <w:sz w:val="20"/>
          <w:szCs w:val="20"/>
        </w:rPr>
      </w:pPr>
      <w:r w:rsidRPr="009E4713">
        <w:rPr>
          <w:rFonts w:ascii="Arial" w:hAnsi="Arial" w:cs="Arial"/>
          <w:sz w:val="20"/>
          <w:szCs w:val="20"/>
        </w:rPr>
        <w:t>Pitscas, Rainer (2007), "</w:t>
      </w:r>
      <w:r w:rsidR="00DA2E86" w:rsidRPr="009E4713">
        <w:rPr>
          <w:rFonts w:ascii="Arial" w:hAnsi="Arial" w:cs="Arial"/>
          <w:sz w:val="20"/>
          <w:szCs w:val="20"/>
        </w:rPr>
        <w:t xml:space="preserve">Gestão do valor público: Um conceito de governação pública  baseado no valor entre a economização e o bem comum", em </w:t>
      </w:r>
      <w:r w:rsidR="00842D17" w:rsidRPr="009E4713">
        <w:rPr>
          <w:rFonts w:ascii="Arial" w:hAnsi="Arial" w:cs="Arial"/>
          <w:sz w:val="20"/>
          <w:szCs w:val="20"/>
        </w:rPr>
        <w:t xml:space="preserve">Mozzicafreddo, Juan </w:t>
      </w:r>
      <w:r w:rsidR="00842D17" w:rsidRPr="009E4713">
        <w:rPr>
          <w:rFonts w:ascii="Arial" w:hAnsi="Arial" w:cs="Arial"/>
          <w:i/>
          <w:sz w:val="20"/>
          <w:szCs w:val="20"/>
        </w:rPr>
        <w:t xml:space="preserve">et al </w:t>
      </w:r>
      <w:r w:rsidR="00842D17" w:rsidRPr="009E4713">
        <w:rPr>
          <w:rFonts w:ascii="Arial" w:hAnsi="Arial" w:cs="Arial"/>
          <w:sz w:val="20"/>
          <w:szCs w:val="20"/>
        </w:rPr>
        <w:t>(orgs), Interesse Público, Estado e Administração</w:t>
      </w:r>
      <w:r w:rsidR="00142F38" w:rsidRPr="009E4713">
        <w:rPr>
          <w:rFonts w:ascii="Arial" w:hAnsi="Arial" w:cs="Arial"/>
          <w:sz w:val="20"/>
          <w:szCs w:val="20"/>
        </w:rPr>
        <w:t>, Lisboa, Celta Editora</w:t>
      </w:r>
    </w:p>
    <w:p w:rsidR="00FF14C5" w:rsidRPr="009E4713" w:rsidRDefault="008E6638" w:rsidP="009E4713">
      <w:pPr>
        <w:spacing w:line="320" w:lineRule="exact"/>
        <w:ind w:left="426" w:hanging="426"/>
        <w:jc w:val="both"/>
        <w:rPr>
          <w:rFonts w:ascii="Arial" w:hAnsi="Arial" w:cs="Arial"/>
          <w:sz w:val="20"/>
          <w:szCs w:val="20"/>
          <w:lang w:val="en-US"/>
        </w:rPr>
      </w:pPr>
      <w:r w:rsidRPr="009E4713">
        <w:rPr>
          <w:rFonts w:ascii="Arial" w:hAnsi="Arial" w:cs="Arial"/>
          <w:sz w:val="20"/>
          <w:szCs w:val="20"/>
          <w:lang w:val="en-US"/>
        </w:rPr>
        <w:t>Putnam</w:t>
      </w:r>
      <w:r w:rsidR="0076112F" w:rsidRPr="009E4713">
        <w:rPr>
          <w:rFonts w:ascii="Arial" w:hAnsi="Arial" w:cs="Arial"/>
          <w:sz w:val="20"/>
          <w:szCs w:val="20"/>
          <w:lang w:val="en-US"/>
        </w:rPr>
        <w:t>, Robert D</w:t>
      </w:r>
      <w:r w:rsidR="00FF14C5" w:rsidRPr="009E4713">
        <w:rPr>
          <w:rFonts w:ascii="Arial" w:hAnsi="Arial" w:cs="Arial"/>
          <w:sz w:val="20"/>
          <w:szCs w:val="20"/>
          <w:lang w:val="en-US"/>
        </w:rPr>
        <w:t xml:space="preserve"> (1993</w:t>
      </w:r>
      <w:r w:rsidR="00FF14C5" w:rsidRPr="009E4713">
        <w:rPr>
          <w:rFonts w:ascii="Arial" w:hAnsi="Arial" w:cs="Arial"/>
          <w:i/>
          <w:sz w:val="20"/>
          <w:szCs w:val="20"/>
          <w:lang w:val="en-US"/>
        </w:rPr>
        <w:t>)</w:t>
      </w:r>
      <w:r w:rsidR="0076112F" w:rsidRPr="009E4713">
        <w:rPr>
          <w:rFonts w:ascii="Arial" w:hAnsi="Arial" w:cs="Arial"/>
          <w:i/>
          <w:sz w:val="20"/>
          <w:szCs w:val="20"/>
          <w:lang w:val="en-US"/>
        </w:rPr>
        <w:t>,</w:t>
      </w:r>
      <w:r w:rsidR="00FF14C5" w:rsidRPr="009E4713">
        <w:rPr>
          <w:rFonts w:ascii="Arial" w:hAnsi="Arial" w:cs="Arial"/>
          <w:i/>
          <w:sz w:val="20"/>
          <w:szCs w:val="20"/>
          <w:lang w:val="en-US"/>
        </w:rPr>
        <w:t xml:space="preserve"> “</w:t>
      </w:r>
      <w:r w:rsidR="00FF14C5" w:rsidRPr="009E4713">
        <w:rPr>
          <w:rFonts w:ascii="Arial" w:hAnsi="Arial" w:cs="Arial"/>
          <w:sz w:val="20"/>
          <w:szCs w:val="20"/>
          <w:lang w:val="en-US"/>
        </w:rPr>
        <w:t>Diplomacy and domestic politics: the logic of two-level games”</w:t>
      </w:r>
      <w:r w:rsidR="00FF14C5" w:rsidRPr="009E4713">
        <w:rPr>
          <w:rFonts w:ascii="Arial" w:hAnsi="Arial" w:cs="Arial"/>
          <w:i/>
          <w:sz w:val="20"/>
          <w:szCs w:val="20"/>
          <w:lang w:val="en-US"/>
        </w:rPr>
        <w:t>.</w:t>
      </w:r>
      <w:r w:rsidR="00FF14C5" w:rsidRPr="009E4713">
        <w:rPr>
          <w:rFonts w:ascii="Arial" w:hAnsi="Arial" w:cs="Arial"/>
          <w:sz w:val="20"/>
          <w:szCs w:val="20"/>
          <w:lang w:val="en-US"/>
        </w:rPr>
        <w:t xml:space="preserve"> </w:t>
      </w:r>
      <w:r w:rsidR="006373F7" w:rsidRPr="009E4713">
        <w:rPr>
          <w:rFonts w:ascii="Arial" w:hAnsi="Arial" w:cs="Arial"/>
          <w:sz w:val="20"/>
          <w:szCs w:val="20"/>
          <w:lang w:val="en-US"/>
        </w:rPr>
        <w:t>Em Evans</w:t>
      </w:r>
      <w:r w:rsidR="00FF14C5" w:rsidRPr="009E4713">
        <w:rPr>
          <w:rFonts w:ascii="Arial" w:hAnsi="Arial" w:cs="Arial"/>
          <w:sz w:val="20"/>
          <w:szCs w:val="20"/>
          <w:lang w:val="en-US"/>
        </w:rPr>
        <w:t xml:space="preserve">, Peter B. </w:t>
      </w:r>
      <w:r w:rsidR="007D32E5" w:rsidRPr="009E4713">
        <w:rPr>
          <w:rFonts w:ascii="Arial" w:hAnsi="Arial" w:cs="Arial"/>
          <w:i/>
          <w:sz w:val="20"/>
          <w:szCs w:val="20"/>
          <w:lang w:val="en-US"/>
        </w:rPr>
        <w:t>et al</w:t>
      </w:r>
      <w:r w:rsidR="006373F7" w:rsidRPr="009E4713">
        <w:rPr>
          <w:rFonts w:ascii="Arial" w:hAnsi="Arial" w:cs="Arial"/>
          <w:sz w:val="20"/>
          <w:szCs w:val="20"/>
          <w:lang w:val="en-US"/>
        </w:rPr>
        <w:t>, (orgs),</w:t>
      </w:r>
      <w:r w:rsidR="00FF14C5" w:rsidRPr="009E4713">
        <w:rPr>
          <w:rFonts w:ascii="Arial" w:hAnsi="Arial" w:cs="Arial"/>
          <w:sz w:val="20"/>
          <w:szCs w:val="20"/>
          <w:lang w:val="en-US"/>
        </w:rPr>
        <w:t xml:space="preserve"> </w:t>
      </w:r>
      <w:r w:rsidR="00FF14C5" w:rsidRPr="009E4713">
        <w:rPr>
          <w:rFonts w:ascii="Arial" w:hAnsi="Arial" w:cs="Arial"/>
          <w:bCs/>
          <w:i/>
          <w:sz w:val="20"/>
          <w:szCs w:val="20"/>
          <w:lang w:val="en-US"/>
        </w:rPr>
        <w:t>Double-edged diplomacy – international bargaining and domestic politics</w:t>
      </w:r>
      <w:r w:rsidR="00FF14C5" w:rsidRPr="009E4713">
        <w:rPr>
          <w:rFonts w:ascii="Arial" w:hAnsi="Arial" w:cs="Arial"/>
          <w:sz w:val="20"/>
          <w:szCs w:val="20"/>
          <w:lang w:val="en-US"/>
        </w:rPr>
        <w:t xml:space="preserve">. Londres, </w:t>
      </w:r>
      <w:smartTag w:uri="urn:schemas-microsoft-com:office:smarttags" w:element="place">
        <w:smartTag w:uri="urn:schemas-microsoft-com:office:smarttags" w:element="PlaceType">
          <w:r w:rsidR="00FF14C5" w:rsidRPr="009E4713">
            <w:rPr>
              <w:rFonts w:ascii="Arial" w:hAnsi="Arial" w:cs="Arial"/>
              <w:sz w:val="20"/>
              <w:szCs w:val="20"/>
              <w:lang w:val="en-US"/>
            </w:rPr>
            <w:t>University</w:t>
          </w:r>
        </w:smartTag>
        <w:r w:rsidR="00FF14C5" w:rsidRPr="009E4713">
          <w:rPr>
            <w:rFonts w:ascii="Arial" w:hAnsi="Arial" w:cs="Arial"/>
            <w:sz w:val="20"/>
            <w:szCs w:val="20"/>
            <w:lang w:val="en-US"/>
          </w:rPr>
          <w:t xml:space="preserve"> of </w:t>
        </w:r>
        <w:smartTag w:uri="urn:schemas-microsoft-com:office:smarttags" w:element="PlaceName">
          <w:r w:rsidR="00FF14C5" w:rsidRPr="009E4713">
            <w:rPr>
              <w:rFonts w:ascii="Arial" w:hAnsi="Arial" w:cs="Arial"/>
              <w:sz w:val="20"/>
              <w:szCs w:val="20"/>
              <w:lang w:val="en-US"/>
            </w:rPr>
            <w:t>California</w:t>
          </w:r>
        </w:smartTag>
      </w:smartTag>
      <w:r w:rsidR="00FF14C5" w:rsidRPr="009E4713">
        <w:rPr>
          <w:rFonts w:ascii="Arial" w:hAnsi="Arial" w:cs="Arial"/>
          <w:sz w:val="20"/>
          <w:szCs w:val="20"/>
          <w:lang w:val="en-US"/>
        </w:rPr>
        <w:t xml:space="preserve"> Press</w:t>
      </w:r>
    </w:p>
    <w:p w:rsidR="00FF14C5" w:rsidRPr="009E4713" w:rsidRDefault="00FF14C5" w:rsidP="009E4713">
      <w:pPr>
        <w:spacing w:line="320" w:lineRule="exact"/>
        <w:ind w:left="426" w:hanging="426"/>
        <w:jc w:val="both"/>
        <w:rPr>
          <w:rFonts w:ascii="Arial" w:hAnsi="Arial" w:cs="Arial"/>
          <w:sz w:val="20"/>
          <w:szCs w:val="20"/>
        </w:rPr>
      </w:pPr>
      <w:r w:rsidRPr="009E4713">
        <w:rPr>
          <w:rFonts w:ascii="Arial" w:hAnsi="Arial" w:cs="Arial"/>
          <w:sz w:val="20"/>
          <w:szCs w:val="20"/>
        </w:rPr>
        <w:t>S</w:t>
      </w:r>
      <w:r w:rsidR="008E6638" w:rsidRPr="009E4713">
        <w:rPr>
          <w:rFonts w:ascii="Arial" w:hAnsi="Arial" w:cs="Arial"/>
          <w:sz w:val="20"/>
          <w:szCs w:val="20"/>
        </w:rPr>
        <w:t>antos</w:t>
      </w:r>
      <w:r w:rsidR="0076112F" w:rsidRPr="009E4713">
        <w:rPr>
          <w:rFonts w:ascii="Arial" w:hAnsi="Arial" w:cs="Arial"/>
          <w:sz w:val="20"/>
          <w:szCs w:val="20"/>
        </w:rPr>
        <w:t>, Maria Helena de Castro</w:t>
      </w:r>
      <w:r w:rsidRPr="009E4713">
        <w:rPr>
          <w:rFonts w:ascii="Arial" w:hAnsi="Arial" w:cs="Arial"/>
          <w:sz w:val="20"/>
          <w:szCs w:val="20"/>
        </w:rPr>
        <w:t xml:space="preserve"> (1997) “Governabilidade, Governança e Democracia: Criação da Capacidade Governativa e Relações Executivo-Legislativo no Brasil Pós-Constituinte”, </w:t>
      </w:r>
      <w:r w:rsidRPr="009E4713">
        <w:rPr>
          <w:rFonts w:ascii="Arial" w:hAnsi="Arial" w:cs="Arial"/>
          <w:i/>
          <w:sz w:val="20"/>
          <w:szCs w:val="20"/>
        </w:rPr>
        <w:t>Revista de Ciências Sociais</w:t>
      </w:r>
      <w:r w:rsidRPr="009E4713">
        <w:rPr>
          <w:rFonts w:ascii="Arial" w:hAnsi="Arial" w:cs="Arial"/>
          <w:sz w:val="20"/>
          <w:szCs w:val="20"/>
        </w:rPr>
        <w:t>. 40</w:t>
      </w:r>
    </w:p>
    <w:p w:rsidR="008C5163" w:rsidRPr="009E4713" w:rsidRDefault="008C5163" w:rsidP="009E4713">
      <w:pPr>
        <w:spacing w:line="320" w:lineRule="exact"/>
        <w:ind w:left="426" w:hanging="426"/>
        <w:jc w:val="both"/>
        <w:rPr>
          <w:rFonts w:ascii="Arial" w:hAnsi="Arial" w:cs="Arial"/>
          <w:sz w:val="20"/>
          <w:szCs w:val="20"/>
          <w:lang/>
        </w:rPr>
      </w:pPr>
      <w:r w:rsidRPr="009E4713">
        <w:rPr>
          <w:rFonts w:ascii="Arial" w:hAnsi="Arial" w:cs="Arial"/>
          <w:sz w:val="20"/>
          <w:szCs w:val="20"/>
          <w:lang/>
        </w:rPr>
        <w:t>Sarti, Cynthia And</w:t>
      </w:r>
      <w:r w:rsidR="0076112F" w:rsidRPr="009E4713">
        <w:rPr>
          <w:rFonts w:ascii="Arial" w:hAnsi="Arial" w:cs="Arial"/>
          <w:sz w:val="20"/>
          <w:szCs w:val="20"/>
          <w:lang/>
        </w:rPr>
        <w:t xml:space="preserve">ersen </w:t>
      </w:r>
      <w:r w:rsidRPr="009E4713">
        <w:rPr>
          <w:rFonts w:ascii="Arial" w:hAnsi="Arial" w:cs="Arial"/>
          <w:sz w:val="20"/>
          <w:szCs w:val="20"/>
          <w:lang/>
        </w:rPr>
        <w:t>(1996)</w:t>
      </w:r>
      <w:r w:rsidR="0076112F" w:rsidRPr="009E4713">
        <w:rPr>
          <w:rFonts w:ascii="Arial" w:hAnsi="Arial" w:cs="Arial"/>
          <w:sz w:val="20"/>
          <w:szCs w:val="20"/>
          <w:lang/>
        </w:rPr>
        <w:t>,</w:t>
      </w:r>
      <w:r w:rsidRPr="009E4713">
        <w:rPr>
          <w:rFonts w:ascii="Arial" w:hAnsi="Arial" w:cs="Arial"/>
          <w:sz w:val="20"/>
          <w:szCs w:val="20"/>
          <w:lang/>
        </w:rPr>
        <w:t xml:space="preserve"> </w:t>
      </w:r>
      <w:r w:rsidRPr="009E4713">
        <w:rPr>
          <w:rFonts w:ascii="Arial" w:hAnsi="Arial" w:cs="Arial"/>
          <w:i/>
          <w:sz w:val="20"/>
          <w:szCs w:val="20"/>
          <w:lang/>
        </w:rPr>
        <w:t>A família como espelho: um estudo sobre a moral dos pobres</w:t>
      </w:r>
      <w:r w:rsidRPr="009E4713">
        <w:rPr>
          <w:rFonts w:ascii="Arial" w:hAnsi="Arial" w:cs="Arial"/>
          <w:sz w:val="20"/>
          <w:szCs w:val="20"/>
          <w:lang/>
        </w:rPr>
        <w:t xml:space="preserve">. Campinas, </w:t>
      </w:r>
      <w:r w:rsidR="0076112F" w:rsidRPr="009E4713">
        <w:rPr>
          <w:rFonts w:ascii="Arial" w:hAnsi="Arial" w:cs="Arial"/>
          <w:sz w:val="20"/>
          <w:szCs w:val="20"/>
          <w:lang/>
        </w:rPr>
        <w:t>ISBN</w:t>
      </w:r>
    </w:p>
    <w:p w:rsidR="004D4298" w:rsidRPr="009E4713" w:rsidRDefault="004D4298" w:rsidP="009E4713">
      <w:pPr>
        <w:widowControl w:val="0"/>
        <w:tabs>
          <w:tab w:val="left" w:pos="426"/>
        </w:tabs>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 xml:space="preserve">Serviço Social da Indústria – </w:t>
      </w:r>
      <w:r w:rsidR="002A1169" w:rsidRPr="009E4713">
        <w:rPr>
          <w:rFonts w:ascii="Arial" w:hAnsi="Arial" w:cs="Arial"/>
          <w:sz w:val="20"/>
          <w:szCs w:val="20"/>
        </w:rPr>
        <w:t>SESI</w:t>
      </w:r>
      <w:r w:rsidRPr="009E4713">
        <w:rPr>
          <w:rFonts w:ascii="Arial" w:hAnsi="Arial" w:cs="Arial"/>
          <w:sz w:val="20"/>
          <w:szCs w:val="20"/>
        </w:rPr>
        <w:t xml:space="preserve"> (2008). </w:t>
      </w:r>
      <w:r w:rsidRPr="009E4713">
        <w:rPr>
          <w:rFonts w:ascii="Arial" w:hAnsi="Arial" w:cs="Arial"/>
          <w:i/>
          <w:sz w:val="20"/>
          <w:szCs w:val="20"/>
        </w:rPr>
        <w:t xml:space="preserve">O </w:t>
      </w:r>
      <w:r w:rsidR="002A1169" w:rsidRPr="009E4713">
        <w:rPr>
          <w:rFonts w:ascii="Arial" w:hAnsi="Arial" w:cs="Arial"/>
          <w:i/>
          <w:sz w:val="20"/>
          <w:szCs w:val="20"/>
        </w:rPr>
        <w:t>SESI</w:t>
      </w:r>
      <w:r w:rsidRPr="009E4713">
        <w:rPr>
          <w:rFonts w:ascii="Arial" w:hAnsi="Arial" w:cs="Arial"/>
          <w:i/>
          <w:sz w:val="20"/>
          <w:szCs w:val="20"/>
        </w:rPr>
        <w:t>, o trabalhador e a indústria: um resgate histórico</w:t>
      </w:r>
      <w:r w:rsidR="0076112F" w:rsidRPr="009E4713">
        <w:rPr>
          <w:rFonts w:ascii="Arial" w:hAnsi="Arial" w:cs="Arial"/>
          <w:i/>
          <w:sz w:val="20"/>
          <w:szCs w:val="20"/>
        </w:rPr>
        <w:t>,</w:t>
      </w:r>
      <w:r w:rsidRPr="009E4713">
        <w:rPr>
          <w:rFonts w:ascii="Arial" w:hAnsi="Arial" w:cs="Arial"/>
          <w:sz w:val="20"/>
          <w:szCs w:val="20"/>
        </w:rPr>
        <w:t xml:space="preserve">. Brasília. </w:t>
      </w:r>
      <w:r w:rsidR="002A1169" w:rsidRPr="009E4713">
        <w:rPr>
          <w:rFonts w:ascii="Arial" w:hAnsi="Arial" w:cs="Arial"/>
          <w:sz w:val="20"/>
          <w:szCs w:val="20"/>
        </w:rPr>
        <w:t>SESI</w:t>
      </w:r>
    </w:p>
    <w:p w:rsidR="004D4298" w:rsidRPr="009E4713" w:rsidRDefault="004D4298" w:rsidP="009E4713">
      <w:pPr>
        <w:widowControl w:val="0"/>
        <w:tabs>
          <w:tab w:val="left" w:pos="426"/>
        </w:tabs>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 xml:space="preserve">Serviço Social da Indústria – </w:t>
      </w:r>
      <w:r w:rsidR="002A1169" w:rsidRPr="009E4713">
        <w:rPr>
          <w:rFonts w:ascii="Arial" w:hAnsi="Arial" w:cs="Arial"/>
          <w:sz w:val="20"/>
          <w:szCs w:val="20"/>
        </w:rPr>
        <w:t>SESI</w:t>
      </w:r>
      <w:r w:rsidRPr="009E4713">
        <w:rPr>
          <w:rFonts w:ascii="Arial" w:hAnsi="Arial" w:cs="Arial"/>
          <w:sz w:val="20"/>
          <w:szCs w:val="20"/>
        </w:rPr>
        <w:t xml:space="preserve"> (2009a). </w:t>
      </w:r>
      <w:r w:rsidRPr="009E4713">
        <w:rPr>
          <w:rFonts w:ascii="Arial" w:hAnsi="Arial" w:cs="Arial"/>
          <w:i/>
          <w:sz w:val="20"/>
          <w:szCs w:val="20"/>
        </w:rPr>
        <w:t>Regulamento do Serviço Social da Indústria</w:t>
      </w:r>
      <w:r w:rsidR="00177B1F" w:rsidRPr="009E4713">
        <w:rPr>
          <w:rFonts w:ascii="Arial" w:hAnsi="Arial" w:cs="Arial"/>
          <w:sz w:val="20"/>
          <w:szCs w:val="20"/>
        </w:rPr>
        <w:t xml:space="preserve">, Brasília. </w:t>
      </w:r>
      <w:r w:rsidR="002A1169" w:rsidRPr="009E4713">
        <w:rPr>
          <w:rFonts w:ascii="Arial" w:hAnsi="Arial" w:cs="Arial"/>
          <w:sz w:val="20"/>
          <w:szCs w:val="20"/>
        </w:rPr>
        <w:t>SESI</w:t>
      </w:r>
    </w:p>
    <w:p w:rsidR="008044EE" w:rsidRPr="009E4713" w:rsidRDefault="008044EE" w:rsidP="009E4713">
      <w:pPr>
        <w:autoSpaceDE w:val="0"/>
        <w:autoSpaceDN w:val="0"/>
        <w:adjustRightInd w:val="0"/>
        <w:spacing w:line="320" w:lineRule="exact"/>
        <w:ind w:left="426" w:hanging="426"/>
        <w:jc w:val="both"/>
        <w:rPr>
          <w:rFonts w:ascii="Arial" w:hAnsi="Arial" w:cs="Arial"/>
          <w:sz w:val="20"/>
          <w:szCs w:val="20"/>
        </w:rPr>
      </w:pPr>
      <w:r w:rsidRPr="009E4713">
        <w:rPr>
          <w:rFonts w:ascii="Arial" w:hAnsi="Arial" w:cs="Arial"/>
          <w:sz w:val="20"/>
          <w:szCs w:val="20"/>
        </w:rPr>
        <w:t>Unicef, Ellery, Celina Magalhães (org), Gadelha, Graça (org).(2003)</w:t>
      </w:r>
      <w:r w:rsidR="0076112F" w:rsidRPr="009E4713">
        <w:rPr>
          <w:rFonts w:ascii="Arial" w:hAnsi="Arial" w:cs="Arial"/>
          <w:sz w:val="20"/>
          <w:szCs w:val="20"/>
        </w:rPr>
        <w:t>,</w:t>
      </w:r>
      <w:r w:rsidRPr="009E4713">
        <w:rPr>
          <w:rFonts w:ascii="Arial" w:hAnsi="Arial" w:cs="Arial"/>
          <w:i/>
          <w:sz w:val="20"/>
          <w:szCs w:val="20"/>
        </w:rPr>
        <w:t xml:space="preserve"> Pesquisa sobre exploração sexual comercial de crianças e adolescentes no estado do Ceará: relatório final.</w:t>
      </w:r>
      <w:r w:rsidRPr="009E4713">
        <w:rPr>
          <w:rFonts w:ascii="Arial" w:hAnsi="Arial" w:cs="Arial"/>
          <w:sz w:val="20"/>
          <w:szCs w:val="20"/>
        </w:rPr>
        <w:t xml:space="preserve"> Fortaleza: IEPRO/UECE.</w:t>
      </w:r>
    </w:p>
    <w:p w:rsidR="00D67D34" w:rsidRPr="009E4713" w:rsidRDefault="00D67D34" w:rsidP="009E4713">
      <w:pPr>
        <w:spacing w:line="320" w:lineRule="exact"/>
        <w:ind w:left="426" w:hanging="426"/>
        <w:jc w:val="both"/>
        <w:rPr>
          <w:rFonts w:ascii="Arial" w:hAnsi="Arial" w:cs="Arial"/>
          <w:sz w:val="20"/>
          <w:szCs w:val="20"/>
          <w:lang/>
        </w:rPr>
      </w:pPr>
      <w:r w:rsidRPr="009E4713">
        <w:rPr>
          <w:rFonts w:ascii="Arial" w:hAnsi="Arial" w:cs="Arial"/>
          <w:sz w:val="20"/>
          <w:szCs w:val="20"/>
          <w:lang/>
        </w:rPr>
        <w:t xml:space="preserve">Violes, (2002) </w:t>
      </w:r>
      <w:r w:rsidRPr="009E4713">
        <w:rPr>
          <w:rFonts w:ascii="Arial" w:hAnsi="Arial" w:cs="Arial"/>
          <w:i/>
          <w:sz w:val="20"/>
          <w:szCs w:val="20"/>
          <w:lang/>
        </w:rPr>
        <w:t>Pesquisa sobre tráfico de mulheres, crianças e adolescentes para fins de exploração sexual comercial no Brasil</w:t>
      </w:r>
      <w:r w:rsidRPr="009E4713">
        <w:rPr>
          <w:rFonts w:ascii="Arial" w:hAnsi="Arial" w:cs="Arial"/>
          <w:sz w:val="20"/>
          <w:szCs w:val="20"/>
          <w:lang/>
        </w:rPr>
        <w:t>. Fortaleza</w:t>
      </w:r>
      <w:r w:rsidR="00CC1650" w:rsidRPr="009E4713">
        <w:rPr>
          <w:rFonts w:ascii="Arial" w:hAnsi="Arial" w:cs="Arial"/>
          <w:sz w:val="20"/>
          <w:szCs w:val="20"/>
          <w:lang/>
        </w:rPr>
        <w:t>, s.n.</w:t>
      </w:r>
    </w:p>
    <w:p w:rsidR="001121B3" w:rsidRPr="009E4713" w:rsidRDefault="001121B3" w:rsidP="009E4713">
      <w:pPr>
        <w:spacing w:line="320" w:lineRule="exact"/>
        <w:ind w:left="425" w:hanging="425"/>
        <w:jc w:val="both"/>
        <w:rPr>
          <w:rFonts w:ascii="Arial" w:hAnsi="Arial" w:cs="Arial"/>
          <w:sz w:val="20"/>
          <w:szCs w:val="20"/>
        </w:rPr>
      </w:pPr>
      <w:r w:rsidRPr="009E4713">
        <w:rPr>
          <w:rFonts w:ascii="Arial" w:hAnsi="Arial" w:cs="Arial"/>
          <w:sz w:val="20"/>
          <w:szCs w:val="20"/>
          <w:lang w:val="pt-PT"/>
        </w:rPr>
        <w:t>W</w:t>
      </w:r>
      <w:r w:rsidR="008E6638" w:rsidRPr="009E4713">
        <w:rPr>
          <w:rFonts w:ascii="Arial" w:hAnsi="Arial" w:cs="Arial"/>
          <w:sz w:val="20"/>
          <w:szCs w:val="20"/>
          <w:lang w:val="pt-PT"/>
        </w:rPr>
        <w:t>allerstein</w:t>
      </w:r>
      <w:r w:rsidRPr="009E4713">
        <w:rPr>
          <w:rFonts w:ascii="Arial" w:hAnsi="Arial" w:cs="Arial"/>
          <w:sz w:val="20"/>
          <w:szCs w:val="20"/>
          <w:lang w:val="pt-PT"/>
        </w:rPr>
        <w:t>, Imannuel (1996)</w:t>
      </w:r>
      <w:r w:rsidR="00C6795F" w:rsidRPr="009E4713">
        <w:rPr>
          <w:rFonts w:ascii="Arial" w:hAnsi="Arial" w:cs="Arial"/>
          <w:sz w:val="20"/>
          <w:szCs w:val="20"/>
          <w:lang w:val="pt-PT"/>
        </w:rPr>
        <w:t>,</w:t>
      </w:r>
      <w:r w:rsidRPr="009E4713">
        <w:rPr>
          <w:rFonts w:ascii="Arial" w:hAnsi="Arial" w:cs="Arial"/>
          <w:sz w:val="20"/>
          <w:szCs w:val="20"/>
          <w:lang w:val="pt-PT"/>
        </w:rPr>
        <w:t xml:space="preserve"> </w:t>
      </w:r>
      <w:r w:rsidRPr="009E4713">
        <w:rPr>
          <w:rFonts w:ascii="Arial" w:hAnsi="Arial" w:cs="Arial"/>
          <w:i/>
          <w:sz w:val="20"/>
          <w:szCs w:val="20"/>
          <w:lang w:val="pt-PT"/>
        </w:rPr>
        <w:t>O S</w:t>
      </w:r>
      <w:r w:rsidR="00670AB3" w:rsidRPr="009E4713">
        <w:rPr>
          <w:rFonts w:ascii="Arial" w:hAnsi="Arial" w:cs="Arial"/>
          <w:i/>
          <w:sz w:val="20"/>
          <w:szCs w:val="20"/>
          <w:lang w:val="pt-PT"/>
        </w:rPr>
        <w:t>istema Mundial Moderno - Vol. II  O Mercantilismo e a Consolida</w:t>
      </w:r>
      <w:r w:rsidRPr="009E4713">
        <w:rPr>
          <w:rFonts w:ascii="Arial" w:hAnsi="Arial" w:cs="Arial"/>
          <w:i/>
          <w:sz w:val="20"/>
          <w:szCs w:val="20"/>
          <w:lang w:val="pt-PT"/>
        </w:rPr>
        <w:t>ção da Economia-Mundo Europeia, 1600-1750</w:t>
      </w:r>
      <w:r w:rsidR="00C6795F" w:rsidRPr="009E4713">
        <w:rPr>
          <w:rFonts w:ascii="Arial" w:hAnsi="Arial" w:cs="Arial"/>
          <w:i/>
          <w:sz w:val="20"/>
          <w:szCs w:val="20"/>
          <w:lang w:val="pt-PT"/>
        </w:rPr>
        <w:t>,</w:t>
      </w:r>
      <w:r w:rsidRPr="009E4713">
        <w:rPr>
          <w:rFonts w:ascii="Arial" w:hAnsi="Arial" w:cs="Arial"/>
          <w:i/>
          <w:sz w:val="20"/>
          <w:szCs w:val="20"/>
          <w:lang w:val="pt-PT"/>
        </w:rPr>
        <w:t xml:space="preserve">. </w:t>
      </w:r>
      <w:r w:rsidR="00C6795F" w:rsidRPr="009E4713">
        <w:rPr>
          <w:rFonts w:ascii="Arial" w:hAnsi="Arial" w:cs="Arial"/>
          <w:sz w:val="20"/>
          <w:szCs w:val="20"/>
          <w:lang w:val="pt-PT"/>
        </w:rPr>
        <w:t>s.l.,</w:t>
      </w:r>
      <w:r w:rsidR="00C6795F" w:rsidRPr="009E4713">
        <w:rPr>
          <w:rFonts w:ascii="Arial" w:hAnsi="Arial" w:cs="Arial"/>
          <w:i/>
          <w:sz w:val="20"/>
          <w:szCs w:val="20"/>
          <w:lang w:val="pt-PT"/>
        </w:rPr>
        <w:t xml:space="preserve"> </w:t>
      </w:r>
      <w:r w:rsidRPr="009E4713">
        <w:rPr>
          <w:rFonts w:ascii="Arial" w:hAnsi="Arial" w:cs="Arial"/>
          <w:sz w:val="20"/>
          <w:szCs w:val="20"/>
        </w:rPr>
        <w:t>Edições Afrontamento</w:t>
      </w:r>
    </w:p>
    <w:p w:rsidR="001121B3" w:rsidRPr="009E4713" w:rsidRDefault="001121B3" w:rsidP="009E4713">
      <w:pPr>
        <w:autoSpaceDE w:val="0"/>
        <w:autoSpaceDN w:val="0"/>
        <w:adjustRightInd w:val="0"/>
        <w:spacing w:line="320" w:lineRule="exact"/>
        <w:ind w:left="426" w:hanging="426"/>
        <w:jc w:val="both"/>
        <w:rPr>
          <w:rFonts w:ascii="Arial" w:hAnsi="Arial" w:cs="Arial"/>
          <w:sz w:val="20"/>
          <w:szCs w:val="20"/>
          <w:lang w:val="en-US"/>
        </w:rPr>
      </w:pPr>
      <w:r w:rsidRPr="009E4713">
        <w:rPr>
          <w:rFonts w:ascii="Arial" w:hAnsi="Arial" w:cs="Arial"/>
          <w:sz w:val="20"/>
          <w:szCs w:val="20"/>
          <w:lang w:val="en-US"/>
        </w:rPr>
        <w:t>Z</w:t>
      </w:r>
      <w:r w:rsidR="008E6638" w:rsidRPr="009E4713">
        <w:rPr>
          <w:rFonts w:ascii="Arial" w:hAnsi="Arial" w:cs="Arial"/>
          <w:sz w:val="20"/>
          <w:szCs w:val="20"/>
          <w:lang w:val="en-US"/>
        </w:rPr>
        <w:t>urn</w:t>
      </w:r>
      <w:r w:rsidRPr="009E4713">
        <w:rPr>
          <w:rFonts w:ascii="Arial" w:hAnsi="Arial" w:cs="Arial"/>
          <w:sz w:val="20"/>
          <w:szCs w:val="20"/>
          <w:lang w:val="en-US"/>
        </w:rPr>
        <w:t>, Mich</w:t>
      </w:r>
      <w:r w:rsidR="00F70A48" w:rsidRPr="009E4713">
        <w:rPr>
          <w:rFonts w:ascii="Arial" w:hAnsi="Arial" w:cs="Arial"/>
          <w:sz w:val="20"/>
          <w:szCs w:val="20"/>
          <w:lang w:val="en-US"/>
        </w:rPr>
        <w:t>ael e Stephan Leibfried</w:t>
      </w:r>
      <w:r w:rsidRPr="009E4713">
        <w:rPr>
          <w:rFonts w:ascii="Arial" w:hAnsi="Arial" w:cs="Arial"/>
          <w:sz w:val="20"/>
          <w:szCs w:val="20"/>
          <w:lang w:val="en-US"/>
        </w:rPr>
        <w:t xml:space="preserve"> (2005), </w:t>
      </w:r>
      <w:r w:rsidRPr="009E4713">
        <w:rPr>
          <w:rFonts w:ascii="Arial" w:hAnsi="Arial" w:cs="Arial"/>
          <w:i/>
          <w:sz w:val="20"/>
          <w:szCs w:val="20"/>
          <w:lang w:val="en-US"/>
        </w:rPr>
        <w:t xml:space="preserve">Transformations of the State?, </w:t>
      </w:r>
      <w:smartTag w:uri="urn:schemas-microsoft-com:office:smarttags" w:element="City">
        <w:r w:rsidR="00F70A48" w:rsidRPr="009E4713">
          <w:rPr>
            <w:rFonts w:ascii="Arial" w:hAnsi="Arial" w:cs="Arial"/>
            <w:sz w:val="20"/>
            <w:szCs w:val="20"/>
            <w:lang w:val="en-US"/>
          </w:rPr>
          <w:t>Cambridge</w:t>
        </w:r>
      </w:smartTag>
      <w:r w:rsidR="00F70A48" w:rsidRPr="009E4713">
        <w:rPr>
          <w:rFonts w:ascii="Arial" w:hAnsi="Arial" w:cs="Arial"/>
          <w:sz w:val="20"/>
          <w:szCs w:val="20"/>
          <w:lang w:val="en-US"/>
        </w:rPr>
        <w:t xml:space="preserve">, </w:t>
      </w:r>
      <w:smartTag w:uri="urn:schemas-microsoft-com:office:smarttags" w:element="place">
        <w:smartTag w:uri="urn:schemas-microsoft-com:office:smarttags" w:element="PlaceName">
          <w:r w:rsidR="00F70A48" w:rsidRPr="009E4713">
            <w:rPr>
              <w:rFonts w:ascii="Arial" w:hAnsi="Arial" w:cs="Arial"/>
              <w:sz w:val="20"/>
              <w:szCs w:val="20"/>
              <w:lang w:val="en-US"/>
            </w:rPr>
            <w:t>Cambridge</w:t>
          </w:r>
        </w:smartTag>
        <w:r w:rsidR="00F70A48" w:rsidRPr="009E4713">
          <w:rPr>
            <w:rFonts w:ascii="Arial" w:hAnsi="Arial" w:cs="Arial"/>
            <w:sz w:val="20"/>
            <w:szCs w:val="20"/>
            <w:lang w:val="en-US"/>
          </w:rPr>
          <w:t xml:space="preserve"> </w:t>
        </w:r>
        <w:smartTag w:uri="urn:schemas-microsoft-com:office:smarttags" w:element="PlaceType">
          <w:r w:rsidR="00F70A48" w:rsidRPr="009E4713">
            <w:rPr>
              <w:rFonts w:ascii="Arial" w:hAnsi="Arial" w:cs="Arial"/>
              <w:sz w:val="20"/>
              <w:szCs w:val="20"/>
              <w:lang w:val="en-US"/>
            </w:rPr>
            <w:t>University</w:t>
          </w:r>
        </w:smartTag>
      </w:smartTag>
      <w:r w:rsidR="00F70A48" w:rsidRPr="009E4713">
        <w:rPr>
          <w:rFonts w:ascii="Arial" w:hAnsi="Arial" w:cs="Arial"/>
          <w:sz w:val="20"/>
          <w:szCs w:val="20"/>
          <w:lang w:val="en-US"/>
        </w:rPr>
        <w:t xml:space="preserve"> Press</w:t>
      </w:r>
    </w:p>
    <w:p w:rsidR="00641F69" w:rsidRDefault="00641F69" w:rsidP="00BF4427">
      <w:pPr>
        <w:autoSpaceDE w:val="0"/>
        <w:autoSpaceDN w:val="0"/>
        <w:adjustRightInd w:val="0"/>
        <w:spacing w:line="360" w:lineRule="auto"/>
        <w:jc w:val="both"/>
        <w:rPr>
          <w:rFonts w:ascii="Arial" w:hAnsi="Arial" w:cs="Arial"/>
          <w:sz w:val="22"/>
          <w:szCs w:val="22"/>
          <w:lang w:val="en-US"/>
        </w:rPr>
        <w:sectPr w:rsidR="00641F69" w:rsidSect="00366370">
          <w:footnotePr>
            <w:numRestart w:val="eachSect"/>
          </w:footnotePr>
          <w:pgSz w:w="11906" w:h="16838"/>
          <w:pgMar w:top="1474" w:right="1474" w:bottom="1474" w:left="1474" w:header="709" w:footer="709" w:gutter="0"/>
          <w:cols w:space="708"/>
          <w:docGrid w:linePitch="360"/>
        </w:sectPr>
      </w:pPr>
    </w:p>
    <w:p w:rsidR="00C6795F" w:rsidRPr="00CD409D" w:rsidRDefault="003234F0" w:rsidP="00BF4427">
      <w:pPr>
        <w:autoSpaceDE w:val="0"/>
        <w:autoSpaceDN w:val="0"/>
        <w:adjustRightInd w:val="0"/>
        <w:spacing w:line="360" w:lineRule="auto"/>
        <w:jc w:val="both"/>
        <w:rPr>
          <w:rFonts w:ascii="Arial" w:hAnsi="Arial" w:cs="Arial"/>
          <w:b/>
          <w:sz w:val="22"/>
          <w:szCs w:val="22"/>
          <w:lang w:val="en-US"/>
        </w:rPr>
      </w:pPr>
      <w:r w:rsidRPr="00CD409D">
        <w:rPr>
          <w:rFonts w:ascii="Arial" w:hAnsi="Arial" w:cs="Arial"/>
          <w:b/>
          <w:sz w:val="22"/>
          <w:szCs w:val="22"/>
          <w:lang w:val="en-US"/>
        </w:rPr>
        <w:lastRenderedPageBreak/>
        <w:t>ANEXO A</w:t>
      </w:r>
    </w:p>
    <w:p w:rsidR="00C6795F" w:rsidRPr="00CD409D" w:rsidRDefault="00C6795F" w:rsidP="00BF4427">
      <w:pPr>
        <w:autoSpaceDE w:val="0"/>
        <w:autoSpaceDN w:val="0"/>
        <w:adjustRightInd w:val="0"/>
        <w:spacing w:line="360" w:lineRule="auto"/>
        <w:jc w:val="both"/>
        <w:rPr>
          <w:rFonts w:ascii="Arial" w:hAnsi="Arial" w:cs="Arial"/>
          <w:sz w:val="22"/>
          <w:szCs w:val="22"/>
          <w:lang w:val="en-US"/>
        </w:rPr>
      </w:pPr>
    </w:p>
    <w:p w:rsidR="00204045" w:rsidRPr="00CD409D" w:rsidRDefault="00204045" w:rsidP="00204045">
      <w:pPr>
        <w:rPr>
          <w:rFonts w:ascii="Arial" w:hAnsi="Arial" w:cs="Arial"/>
          <w:sz w:val="22"/>
          <w:szCs w:val="22"/>
        </w:rPr>
      </w:pPr>
    </w:p>
    <w:p w:rsidR="00204045" w:rsidRPr="00CD409D" w:rsidRDefault="00204045" w:rsidP="00CD409D">
      <w:pPr>
        <w:spacing w:line="360" w:lineRule="auto"/>
        <w:rPr>
          <w:rFonts w:ascii="Arial" w:hAnsi="Arial" w:cs="Arial"/>
          <w:b/>
          <w:sz w:val="22"/>
          <w:szCs w:val="22"/>
        </w:rPr>
      </w:pPr>
      <w:r w:rsidRPr="00CD409D">
        <w:rPr>
          <w:rFonts w:ascii="Arial" w:hAnsi="Arial" w:cs="Arial"/>
          <w:b/>
          <w:sz w:val="22"/>
          <w:szCs w:val="22"/>
        </w:rPr>
        <w:t>LISTA DE PARCEIROS VIRAVIDA</w:t>
      </w:r>
    </w:p>
    <w:p w:rsidR="00204045" w:rsidRPr="00CD409D" w:rsidRDefault="00204045" w:rsidP="00CD409D">
      <w:pPr>
        <w:spacing w:line="360" w:lineRule="auto"/>
        <w:rPr>
          <w:rFonts w:ascii="Arial" w:hAnsi="Arial" w:cs="Arial"/>
          <w:sz w:val="22"/>
          <w:szCs w:val="22"/>
          <w:lang w:val="en-US"/>
        </w:rPr>
      </w:pPr>
      <w:r w:rsidRPr="00CD409D">
        <w:rPr>
          <w:rFonts w:ascii="Arial" w:hAnsi="Arial" w:cs="Arial"/>
          <w:sz w:val="22"/>
          <w:szCs w:val="22"/>
          <w:lang w:val="en-US"/>
        </w:rPr>
        <w:t>Panificadora Montmartre;</w:t>
      </w:r>
    </w:p>
    <w:p w:rsidR="00204045" w:rsidRPr="00CD409D" w:rsidRDefault="00204045" w:rsidP="00CD409D">
      <w:pPr>
        <w:spacing w:line="360" w:lineRule="auto"/>
        <w:rPr>
          <w:rFonts w:ascii="Arial" w:hAnsi="Arial" w:cs="Arial"/>
          <w:sz w:val="22"/>
          <w:szCs w:val="22"/>
          <w:lang w:val="en-US"/>
        </w:rPr>
      </w:pPr>
      <w:r w:rsidRPr="00CD409D">
        <w:rPr>
          <w:rFonts w:ascii="Arial" w:hAnsi="Arial" w:cs="Arial"/>
          <w:sz w:val="22"/>
          <w:szCs w:val="22"/>
          <w:lang w:val="en-US"/>
        </w:rPr>
        <w:t>Penna Sport Wear;</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EIT;</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Caixa Econômica Federal;</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Banco do Brasil;</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Banco do Nordeste;</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Dilady;</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Programa 1º passo;</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Côco Bambu;</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Pizza Hut;</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Restaurante SOHO;</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Empório pão;</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Cafeteria Sinhazinha;</w:t>
      </w:r>
    </w:p>
    <w:p w:rsidR="00204045" w:rsidRPr="00CD409D" w:rsidRDefault="00204045" w:rsidP="00CD409D">
      <w:pPr>
        <w:spacing w:line="360" w:lineRule="auto"/>
        <w:rPr>
          <w:rFonts w:ascii="Arial" w:hAnsi="Arial" w:cs="Arial"/>
          <w:sz w:val="22"/>
          <w:szCs w:val="22"/>
        </w:rPr>
      </w:pPr>
      <w:r w:rsidRPr="00CD409D">
        <w:rPr>
          <w:rFonts w:ascii="Arial" w:hAnsi="Arial" w:cs="Arial"/>
          <w:sz w:val="22"/>
          <w:szCs w:val="22"/>
        </w:rPr>
        <w:t>Pizza’s</w:t>
      </w:r>
    </w:p>
    <w:p w:rsidR="00204045" w:rsidRPr="00CD409D" w:rsidRDefault="00204045" w:rsidP="00CD409D">
      <w:pPr>
        <w:spacing w:line="360" w:lineRule="auto"/>
        <w:rPr>
          <w:rFonts w:ascii="Arial" w:hAnsi="Arial" w:cs="Arial"/>
          <w:sz w:val="22"/>
          <w:szCs w:val="22"/>
        </w:rPr>
      </w:pPr>
    </w:p>
    <w:p w:rsidR="00204045" w:rsidRPr="00CD409D" w:rsidRDefault="00204045" w:rsidP="00204045">
      <w:pPr>
        <w:rPr>
          <w:rFonts w:ascii="Arial" w:hAnsi="Arial" w:cs="Arial"/>
          <w:sz w:val="22"/>
          <w:szCs w:val="22"/>
        </w:rPr>
      </w:pPr>
    </w:p>
    <w:p w:rsidR="00204045" w:rsidRPr="00CD409D" w:rsidRDefault="00204045" w:rsidP="00204045">
      <w:pPr>
        <w:rPr>
          <w:rFonts w:ascii="Arial" w:hAnsi="Arial" w:cs="Arial"/>
          <w:sz w:val="22"/>
          <w:szCs w:val="22"/>
        </w:rPr>
      </w:pPr>
    </w:p>
    <w:p w:rsidR="00204045" w:rsidRPr="00CD409D" w:rsidRDefault="00204045" w:rsidP="00204045">
      <w:pPr>
        <w:rPr>
          <w:rFonts w:ascii="Arial" w:hAnsi="Arial" w:cs="Arial"/>
          <w:sz w:val="22"/>
          <w:szCs w:val="22"/>
        </w:rPr>
      </w:pPr>
    </w:p>
    <w:p w:rsidR="00204045" w:rsidRPr="00CD409D" w:rsidRDefault="00204045" w:rsidP="00204045">
      <w:pPr>
        <w:rPr>
          <w:rFonts w:ascii="Arial" w:hAnsi="Arial" w:cs="Arial"/>
          <w:sz w:val="22"/>
          <w:szCs w:val="22"/>
        </w:rPr>
      </w:pPr>
    </w:p>
    <w:p w:rsidR="00204045" w:rsidRPr="00CD409D" w:rsidRDefault="00204045" w:rsidP="00204045">
      <w:pPr>
        <w:rPr>
          <w:rFonts w:ascii="Arial" w:hAnsi="Arial" w:cs="Arial"/>
          <w:sz w:val="22"/>
          <w:szCs w:val="22"/>
        </w:rPr>
      </w:pPr>
    </w:p>
    <w:p w:rsidR="00204045" w:rsidRPr="00CD409D" w:rsidRDefault="00204045"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DD0DFA" w:rsidRPr="00CD409D" w:rsidRDefault="00DD0DFA" w:rsidP="00204045">
      <w:pPr>
        <w:rPr>
          <w:rFonts w:ascii="Arial" w:hAnsi="Arial" w:cs="Arial"/>
          <w:sz w:val="22"/>
          <w:szCs w:val="22"/>
        </w:rPr>
      </w:pPr>
    </w:p>
    <w:p w:rsidR="00CD409D" w:rsidRDefault="00CD409D" w:rsidP="00204045">
      <w:pPr>
        <w:rPr>
          <w:rFonts w:ascii="Arial" w:hAnsi="Arial" w:cs="Arial"/>
          <w:sz w:val="22"/>
          <w:szCs w:val="22"/>
        </w:rPr>
      </w:pPr>
    </w:p>
    <w:p w:rsidR="00204045" w:rsidRPr="00CD409D" w:rsidRDefault="003234F0" w:rsidP="00204045">
      <w:pPr>
        <w:rPr>
          <w:rFonts w:ascii="Arial" w:hAnsi="Arial" w:cs="Arial"/>
          <w:b/>
          <w:sz w:val="22"/>
          <w:szCs w:val="22"/>
        </w:rPr>
      </w:pPr>
      <w:r w:rsidRPr="00CD409D">
        <w:rPr>
          <w:rFonts w:ascii="Arial" w:hAnsi="Arial" w:cs="Arial"/>
          <w:b/>
          <w:sz w:val="22"/>
          <w:szCs w:val="22"/>
        </w:rPr>
        <w:lastRenderedPageBreak/>
        <w:t>ANEXO B</w:t>
      </w:r>
    </w:p>
    <w:p w:rsidR="00204045" w:rsidRPr="00CD409D" w:rsidRDefault="00204045" w:rsidP="00204045">
      <w:pPr>
        <w:rPr>
          <w:rFonts w:ascii="Arial" w:hAnsi="Arial" w:cs="Arial"/>
          <w:sz w:val="22"/>
          <w:szCs w:val="22"/>
        </w:rPr>
      </w:pPr>
    </w:p>
    <w:p w:rsidR="00204045" w:rsidRPr="00CD409D" w:rsidRDefault="00204045" w:rsidP="00204045">
      <w:pPr>
        <w:rPr>
          <w:rFonts w:ascii="Arial" w:hAnsi="Arial" w:cs="Arial"/>
          <w:sz w:val="22"/>
          <w:szCs w:val="22"/>
        </w:rPr>
      </w:pPr>
    </w:p>
    <w:p w:rsidR="00204045" w:rsidRPr="00CD409D" w:rsidRDefault="00204045" w:rsidP="00204045">
      <w:pPr>
        <w:rPr>
          <w:rFonts w:ascii="Arial" w:hAnsi="Arial" w:cs="Arial"/>
          <w:b/>
          <w:sz w:val="22"/>
          <w:szCs w:val="22"/>
        </w:rPr>
      </w:pPr>
      <w:r w:rsidRPr="00CD409D">
        <w:rPr>
          <w:rFonts w:ascii="Arial" w:hAnsi="Arial" w:cs="Arial"/>
          <w:b/>
          <w:sz w:val="22"/>
          <w:szCs w:val="22"/>
        </w:rPr>
        <w:t>LISTA DE INSTITUIÇÕES PARCEIRAS TURISMO SUSTENTÁVEL E INFÂNCIA</w:t>
      </w:r>
    </w:p>
    <w:tbl>
      <w:tblPr>
        <w:tblW w:w="9468" w:type="dxa"/>
        <w:tblLook w:val="01E0"/>
      </w:tblPr>
      <w:tblGrid>
        <w:gridCol w:w="4360"/>
        <w:gridCol w:w="608"/>
        <w:gridCol w:w="4500"/>
      </w:tblGrid>
      <w:tr w:rsidR="00204045" w:rsidRPr="00CD409D" w:rsidTr="00204045">
        <w:tc>
          <w:tcPr>
            <w:tcW w:w="9468" w:type="dxa"/>
            <w:gridSpan w:val="3"/>
          </w:tcPr>
          <w:p w:rsidR="00204045" w:rsidRPr="00CD409D" w:rsidRDefault="00204045" w:rsidP="00204045">
            <w:pPr>
              <w:spacing w:after="200" w:line="276" w:lineRule="auto"/>
              <w:jc w:val="center"/>
              <w:rPr>
                <w:rFonts w:ascii="Arial" w:eastAsia="Calibri" w:hAnsi="Arial" w:cs="Arial"/>
                <w:b/>
                <w:sz w:val="22"/>
                <w:szCs w:val="22"/>
                <w:lang w:val="en-US" w:eastAsia="en-US"/>
              </w:rPr>
            </w:pPr>
            <w:r w:rsidRPr="00CD409D">
              <w:rPr>
                <w:rFonts w:ascii="Arial" w:eastAsia="Calibri" w:hAnsi="Arial" w:cs="Arial"/>
                <w:b/>
                <w:sz w:val="22"/>
                <w:szCs w:val="22"/>
                <w:lang w:val="en-US" w:eastAsia="en-US"/>
              </w:rPr>
              <w:t>Empreendimentos Hoteleiros</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Brasil Tropical Residence;</w:t>
            </w:r>
          </w:p>
        </w:tc>
        <w:tc>
          <w:tcPr>
            <w:tcW w:w="4500" w:type="dxa"/>
          </w:tcPr>
          <w:p w:rsidR="00204045" w:rsidRPr="00CD409D" w:rsidRDefault="00204045" w:rsidP="00204045">
            <w:pPr>
              <w:spacing w:after="200" w:line="276" w:lineRule="auto"/>
              <w:rPr>
                <w:rFonts w:ascii="Arial" w:eastAsia="Calibri" w:hAnsi="Arial" w:cs="Arial"/>
                <w:sz w:val="22"/>
                <w:szCs w:val="22"/>
                <w:lang w:eastAsia="en-US"/>
              </w:rPr>
            </w:pPr>
            <w:r w:rsidRPr="00CD409D">
              <w:rPr>
                <w:rFonts w:ascii="Arial" w:eastAsia="Calibri" w:hAnsi="Arial" w:cs="Arial"/>
                <w:sz w:val="22"/>
                <w:szCs w:val="22"/>
                <w:lang w:eastAsia="en-US"/>
              </w:rPr>
              <w:t>Bristol Multy Jangada Fortaleza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smartTag w:uri="urn:schemas-microsoft-com:office:smarttags" w:element="City">
              <w:smartTag w:uri="urn:schemas-microsoft-com:office:smarttags" w:element="place">
                <w:r w:rsidRPr="00CD409D">
                  <w:rPr>
                    <w:rFonts w:ascii="Arial" w:eastAsia="Calibri" w:hAnsi="Arial" w:cs="Arial"/>
                    <w:sz w:val="22"/>
                    <w:szCs w:val="22"/>
                    <w:lang w:val="en-US" w:eastAsia="en-US"/>
                  </w:rPr>
                  <w:t>Coimbra</w:t>
                </w:r>
              </w:smartTag>
            </w:smartTag>
            <w:r w:rsidRPr="00CD409D">
              <w:rPr>
                <w:rFonts w:ascii="Arial" w:eastAsia="Calibri" w:hAnsi="Arial" w:cs="Arial"/>
                <w:sz w:val="22"/>
                <w:szCs w:val="22"/>
                <w:lang w:val="en-US" w:eastAsia="en-US"/>
              </w:rPr>
              <w:t xml:space="preserve"> Residence Flat;</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Costa do Mar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smartTag w:uri="urn:schemas-microsoft-com:office:smarttags" w:element="place">
              <w:smartTag w:uri="urn:schemas-microsoft-com:office:smarttags" w:element="PlaceName">
                <w:r w:rsidRPr="00CD409D">
                  <w:rPr>
                    <w:rFonts w:ascii="Arial" w:eastAsia="Calibri" w:hAnsi="Arial" w:cs="Arial"/>
                    <w:sz w:val="22"/>
                    <w:szCs w:val="22"/>
                    <w:lang w:val="en-US" w:eastAsia="en-US"/>
                  </w:rPr>
                  <w:t>Golden</w:t>
                </w:r>
              </w:smartTag>
              <w:r w:rsidRPr="00CD409D">
                <w:rPr>
                  <w:rFonts w:ascii="Arial" w:eastAsia="Calibri" w:hAnsi="Arial" w:cs="Arial"/>
                  <w:sz w:val="22"/>
                  <w:szCs w:val="22"/>
                  <w:lang w:val="en-US" w:eastAsia="en-US"/>
                </w:rPr>
                <w:t xml:space="preserve"> </w:t>
              </w:r>
              <w:smartTag w:uri="urn:schemas-microsoft-com:office:smarttags" w:element="PlaceName">
                <w:r w:rsidRPr="00CD409D">
                  <w:rPr>
                    <w:rFonts w:ascii="Arial" w:eastAsia="Calibri" w:hAnsi="Arial" w:cs="Arial"/>
                    <w:sz w:val="22"/>
                    <w:szCs w:val="22"/>
                    <w:lang w:val="en-US" w:eastAsia="en-US"/>
                  </w:rPr>
                  <w:t>Tulip</w:t>
                </w:r>
              </w:smartTag>
              <w:r w:rsidRPr="00CD409D">
                <w:rPr>
                  <w:rFonts w:ascii="Arial" w:eastAsia="Calibri" w:hAnsi="Arial" w:cs="Arial"/>
                  <w:sz w:val="22"/>
                  <w:szCs w:val="22"/>
                  <w:lang w:val="en-US" w:eastAsia="en-US"/>
                </w:rPr>
                <w:t xml:space="preserve"> </w:t>
              </w:r>
              <w:smartTag w:uri="urn:schemas-microsoft-com:office:smarttags" w:element="PlaceType">
                <w:r w:rsidRPr="00CD409D">
                  <w:rPr>
                    <w:rFonts w:ascii="Arial" w:eastAsia="Calibri" w:hAnsi="Arial" w:cs="Arial"/>
                    <w:sz w:val="22"/>
                    <w:szCs w:val="22"/>
                    <w:lang w:val="en-US" w:eastAsia="en-US"/>
                  </w:rPr>
                  <w:t>Inn</w:t>
                </w:r>
              </w:smartTag>
              <w:r w:rsidRPr="00CD409D">
                <w:rPr>
                  <w:rFonts w:ascii="Arial" w:eastAsia="Calibri" w:hAnsi="Arial" w:cs="Arial"/>
                  <w:sz w:val="22"/>
                  <w:szCs w:val="22"/>
                  <w:lang w:val="en-US" w:eastAsia="en-US"/>
                </w:rPr>
                <w:t xml:space="preserve"> </w:t>
              </w:r>
              <w:smartTag w:uri="urn:schemas-microsoft-com:office:smarttags" w:element="PlaceName">
                <w:r w:rsidRPr="00CD409D">
                  <w:rPr>
                    <w:rFonts w:ascii="Arial" w:eastAsia="Calibri" w:hAnsi="Arial" w:cs="Arial"/>
                    <w:sz w:val="22"/>
                    <w:szCs w:val="22"/>
                    <w:lang w:val="en-US" w:eastAsia="en-US"/>
                  </w:rPr>
                  <w:t>iate</w:t>
                </w:r>
              </w:smartTag>
              <w:r w:rsidRPr="00CD409D">
                <w:rPr>
                  <w:rFonts w:ascii="Arial" w:eastAsia="Calibri" w:hAnsi="Arial" w:cs="Arial"/>
                  <w:sz w:val="22"/>
                  <w:szCs w:val="22"/>
                  <w:lang w:val="en-US" w:eastAsia="en-US"/>
                </w:rPr>
                <w:t xml:space="preserve"> </w:t>
              </w:r>
              <w:smartTag w:uri="urn:schemas-microsoft-com:office:smarttags" w:element="PlaceType">
                <w:r w:rsidRPr="00CD409D">
                  <w:rPr>
                    <w:rFonts w:ascii="Arial" w:eastAsia="Calibri" w:hAnsi="Arial" w:cs="Arial"/>
                    <w:sz w:val="22"/>
                    <w:szCs w:val="22"/>
                    <w:lang w:val="en-US" w:eastAsia="en-US"/>
                  </w:rPr>
                  <w:t>Plaza</w:t>
                </w:r>
              </w:smartTag>
            </w:smartTag>
            <w:r w:rsidRPr="00CD409D">
              <w:rPr>
                <w:rFonts w:ascii="Arial" w:eastAsia="Calibri" w:hAnsi="Arial" w:cs="Arial"/>
                <w:sz w:val="22"/>
                <w:szCs w:val="22"/>
                <w:lang w:val="en-US" w:eastAsia="en-US"/>
              </w:rPr>
              <w:t xml:space="preserve"> Residence;</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Hotel Cocal;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Hotel Meridional;</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Hotel Pousada Mundo Latino;</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Hotel Villa Mayor;</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smartTag w:uri="urn:schemas-microsoft-com:office:smarttags" w:element="place">
              <w:smartTag w:uri="urn:schemas-microsoft-com:office:smarttags" w:element="PlaceName">
                <w:r w:rsidRPr="00CD409D">
                  <w:rPr>
                    <w:rFonts w:ascii="Arial" w:eastAsia="Calibri" w:hAnsi="Arial" w:cs="Arial"/>
                    <w:sz w:val="22"/>
                    <w:szCs w:val="22"/>
                    <w:lang w:val="en-US" w:eastAsia="en-US"/>
                  </w:rPr>
                  <w:t>Iate</w:t>
                </w:r>
              </w:smartTag>
              <w:r w:rsidRPr="00CD409D">
                <w:rPr>
                  <w:rFonts w:ascii="Arial" w:eastAsia="Calibri" w:hAnsi="Arial" w:cs="Arial"/>
                  <w:sz w:val="22"/>
                  <w:szCs w:val="22"/>
                  <w:lang w:val="en-US" w:eastAsia="en-US"/>
                </w:rPr>
                <w:t xml:space="preserve"> </w:t>
              </w:r>
              <w:smartTag w:uri="urn:schemas-microsoft-com:office:smarttags" w:element="PlaceType">
                <w:r w:rsidRPr="00CD409D">
                  <w:rPr>
                    <w:rFonts w:ascii="Arial" w:eastAsia="Calibri" w:hAnsi="Arial" w:cs="Arial"/>
                    <w:sz w:val="22"/>
                    <w:szCs w:val="22"/>
                    <w:lang w:val="en-US" w:eastAsia="en-US"/>
                  </w:rPr>
                  <w:t>Plaza</w:t>
                </w:r>
              </w:smartTag>
            </w:smartTag>
            <w:r w:rsidRPr="00CD409D">
              <w:rPr>
                <w:rFonts w:ascii="Arial" w:eastAsia="Calibri" w:hAnsi="Arial" w:cs="Arial"/>
                <w:sz w:val="22"/>
                <w:szCs w:val="22"/>
                <w:lang w:val="en-US" w:eastAsia="en-US"/>
              </w:rPr>
              <w:t>;</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Iracema Mar Hotel;</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Lisboa Praia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Magna Praia Hotel;</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Malibu Praia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Maredomus Hotel;</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Marina Park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 xml:space="preserve">Mercure Apartaments </w:t>
            </w:r>
            <w:smartTag w:uri="urn:schemas-microsoft-com:office:smarttags" w:element="City">
              <w:smartTag w:uri="urn:schemas-microsoft-com:office:smarttags" w:element="place">
                <w:r w:rsidRPr="00CD409D">
                  <w:rPr>
                    <w:rFonts w:ascii="Arial" w:eastAsia="Calibri" w:hAnsi="Arial" w:cs="Arial"/>
                    <w:sz w:val="22"/>
                    <w:szCs w:val="22"/>
                    <w:lang w:val="en-US" w:eastAsia="en-US"/>
                  </w:rPr>
                  <w:t>Fortaleza</w:t>
                </w:r>
              </w:smartTag>
            </w:smartTag>
            <w:r w:rsidRPr="00CD409D">
              <w:rPr>
                <w:rFonts w:ascii="Arial" w:eastAsia="Calibri" w:hAnsi="Arial" w:cs="Arial"/>
                <w:sz w:val="22"/>
                <w:szCs w:val="22"/>
                <w:lang w:val="en-US" w:eastAsia="en-US"/>
              </w:rPr>
              <w:t xml:space="preserve"> Meireles;</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 xml:space="preserve">Oásis Atlântico </w:t>
            </w:r>
            <w:smartTag w:uri="urn:schemas-microsoft-com:office:smarttags" w:element="City">
              <w:smartTag w:uri="urn:schemas-microsoft-com:office:smarttags" w:element="place">
                <w:r w:rsidRPr="00CD409D">
                  <w:rPr>
                    <w:rFonts w:ascii="Arial" w:eastAsia="Calibri" w:hAnsi="Arial" w:cs="Arial"/>
                    <w:sz w:val="22"/>
                    <w:szCs w:val="22"/>
                    <w:lang w:val="en-US" w:eastAsia="en-US"/>
                  </w:rPr>
                  <w:t>Fortaleza</w:t>
                </w:r>
              </w:smartTag>
            </w:smartTag>
            <w:r w:rsidRPr="00CD409D">
              <w:rPr>
                <w:rFonts w:ascii="Arial" w:eastAsia="Calibri" w:hAnsi="Arial" w:cs="Arial"/>
                <w:sz w:val="22"/>
                <w:szCs w:val="22"/>
                <w:lang w:val="en-US" w:eastAsia="en-US"/>
              </w:rPr>
              <w:t>;</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Ocean View Residence Service;</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Olympo Praia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smartTag w:uri="urn:schemas-microsoft-com:office:smarttags" w:element="PlaceName">
              <w:r w:rsidRPr="00CD409D">
                <w:rPr>
                  <w:rFonts w:ascii="Arial" w:eastAsia="Calibri" w:hAnsi="Arial" w:cs="Arial"/>
                  <w:sz w:val="22"/>
                  <w:szCs w:val="22"/>
                  <w:lang w:val="en-US" w:eastAsia="en-US"/>
                </w:rPr>
                <w:t>Othon</w:t>
              </w:r>
            </w:smartTag>
            <w:r w:rsidRPr="00CD409D">
              <w:rPr>
                <w:rFonts w:ascii="Arial" w:eastAsia="Calibri" w:hAnsi="Arial" w:cs="Arial"/>
                <w:sz w:val="22"/>
                <w:szCs w:val="22"/>
                <w:lang w:val="en-US" w:eastAsia="en-US"/>
              </w:rPr>
              <w:t xml:space="preserve"> </w:t>
            </w:r>
            <w:smartTag w:uri="urn:schemas-microsoft-com:office:smarttags" w:element="PlaceType">
              <w:r w:rsidRPr="00CD409D">
                <w:rPr>
                  <w:rFonts w:ascii="Arial" w:eastAsia="Calibri" w:hAnsi="Arial" w:cs="Arial"/>
                  <w:sz w:val="22"/>
                  <w:szCs w:val="22"/>
                  <w:lang w:val="en-US" w:eastAsia="en-US"/>
                </w:rPr>
                <w:t>Palace</w:t>
              </w:r>
            </w:smartTag>
            <w:r w:rsidRPr="00CD409D">
              <w:rPr>
                <w:rFonts w:ascii="Arial" w:eastAsia="Calibri" w:hAnsi="Arial" w:cs="Arial"/>
                <w:sz w:val="22"/>
                <w:szCs w:val="22"/>
                <w:lang w:val="en-US" w:eastAsia="en-US"/>
              </w:rPr>
              <w:t xml:space="preserve"> </w:t>
            </w:r>
            <w:smartTag w:uri="urn:schemas-microsoft-com:office:smarttags" w:element="City">
              <w:smartTag w:uri="urn:schemas-microsoft-com:office:smarttags" w:element="place">
                <w:r w:rsidRPr="00CD409D">
                  <w:rPr>
                    <w:rFonts w:ascii="Arial" w:eastAsia="Calibri" w:hAnsi="Arial" w:cs="Arial"/>
                    <w:sz w:val="22"/>
                    <w:szCs w:val="22"/>
                    <w:lang w:val="en-US" w:eastAsia="en-US"/>
                  </w:rPr>
                  <w:t>Fortaleza</w:t>
                </w:r>
              </w:smartTag>
            </w:smartTag>
            <w:r w:rsidRPr="00CD409D">
              <w:rPr>
                <w:rFonts w:ascii="Arial" w:eastAsia="Calibri" w:hAnsi="Arial" w:cs="Arial"/>
                <w:sz w:val="22"/>
                <w:szCs w:val="22"/>
                <w:lang w:val="en-US" w:eastAsia="en-US"/>
              </w:rPr>
              <w:t>;</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Ponta Mar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Portal da Praia Hotel;</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Praia Mansa Suíte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 xml:space="preserve">Quality Hotel </w:t>
            </w:r>
            <w:smartTag w:uri="urn:schemas-microsoft-com:office:smarttags" w:element="City">
              <w:smartTag w:uri="urn:schemas-microsoft-com:office:smarttags" w:element="place">
                <w:r w:rsidRPr="00CD409D">
                  <w:rPr>
                    <w:rFonts w:ascii="Arial" w:eastAsia="Calibri" w:hAnsi="Arial" w:cs="Arial"/>
                    <w:sz w:val="22"/>
                    <w:szCs w:val="22"/>
                    <w:lang w:val="en-US" w:eastAsia="en-US"/>
                  </w:rPr>
                  <w:t>Fortaleza</w:t>
                </w:r>
              </w:smartTag>
            </w:smartTag>
            <w:r w:rsidRPr="00CD409D">
              <w:rPr>
                <w:rFonts w:ascii="Arial" w:eastAsia="Calibri" w:hAnsi="Arial" w:cs="Arial"/>
                <w:sz w:val="22"/>
                <w:szCs w:val="22"/>
                <w:lang w:val="en-US" w:eastAsia="en-US"/>
              </w:rPr>
              <w:t>;</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San Phillip Flat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Scala Residenza;</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Sonata de Iracema;</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Tulip Inn San Martin;</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Vereda Flat Hotel;</w:t>
            </w:r>
          </w:p>
        </w:tc>
      </w:tr>
      <w:tr w:rsidR="00204045" w:rsidRPr="00CD409D" w:rsidTr="00204045">
        <w:tc>
          <w:tcPr>
            <w:tcW w:w="496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Vila Azul Praia Hotel;</w:t>
            </w:r>
          </w:p>
        </w:tc>
        <w:tc>
          <w:tcPr>
            <w:tcW w:w="450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Villa Costeira Flat</w:t>
            </w:r>
          </w:p>
        </w:tc>
      </w:tr>
      <w:tr w:rsidR="00204045" w:rsidRPr="00CD409D" w:rsidTr="00204045">
        <w:tc>
          <w:tcPr>
            <w:tcW w:w="9468" w:type="dxa"/>
            <w:gridSpan w:val="3"/>
          </w:tcPr>
          <w:p w:rsidR="00CD409D" w:rsidRDefault="00CD409D" w:rsidP="00204045">
            <w:pPr>
              <w:spacing w:after="200" w:line="276" w:lineRule="auto"/>
              <w:jc w:val="center"/>
              <w:rPr>
                <w:rFonts w:ascii="Arial" w:eastAsia="Calibri" w:hAnsi="Arial" w:cs="Arial"/>
                <w:b/>
                <w:sz w:val="22"/>
                <w:szCs w:val="22"/>
                <w:lang w:eastAsia="en-US"/>
              </w:rPr>
            </w:pPr>
          </w:p>
          <w:p w:rsidR="00204045" w:rsidRPr="00CD409D" w:rsidRDefault="00204045" w:rsidP="00204045">
            <w:pPr>
              <w:spacing w:after="200" w:line="276" w:lineRule="auto"/>
              <w:jc w:val="center"/>
              <w:rPr>
                <w:rFonts w:ascii="Arial" w:eastAsia="Calibri" w:hAnsi="Arial" w:cs="Arial"/>
                <w:b/>
                <w:sz w:val="22"/>
                <w:szCs w:val="22"/>
                <w:lang w:eastAsia="en-US"/>
              </w:rPr>
            </w:pPr>
            <w:r w:rsidRPr="00CD409D">
              <w:rPr>
                <w:rFonts w:ascii="Arial" w:eastAsia="Calibri" w:hAnsi="Arial" w:cs="Arial"/>
                <w:b/>
                <w:sz w:val="22"/>
                <w:szCs w:val="22"/>
                <w:lang w:eastAsia="en-US"/>
              </w:rPr>
              <w:t>Empreendimentos de alimentação e bebida</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Barraca Marulho;</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Buffet Lia Moreira;</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D&amp;A Restaurante;</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Espaço das delícias;</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Restaurante Caicó;</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Taty Buffet;</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smartTag w:uri="urn:schemas-microsoft-com:office:smarttags" w:element="place">
              <w:r w:rsidRPr="00CD409D">
                <w:rPr>
                  <w:rFonts w:ascii="Arial" w:eastAsia="Calibri" w:hAnsi="Arial" w:cs="Arial"/>
                  <w:sz w:val="22"/>
                  <w:szCs w:val="22"/>
                  <w:lang w:val="en-US" w:eastAsia="en-US"/>
                </w:rPr>
                <w:t>Thames</w:t>
              </w:r>
            </w:smartTag>
            <w:r w:rsidRPr="00CD409D">
              <w:rPr>
                <w:rFonts w:ascii="Arial" w:eastAsia="Calibri" w:hAnsi="Arial" w:cs="Arial"/>
                <w:sz w:val="22"/>
                <w:szCs w:val="22"/>
                <w:lang w:val="en-US" w:eastAsia="en-US"/>
              </w:rPr>
              <w:t>;</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The Ranch Restaurante.</w:t>
            </w:r>
          </w:p>
        </w:tc>
      </w:tr>
      <w:tr w:rsidR="00204045" w:rsidRPr="00CD409D" w:rsidTr="00204045">
        <w:tc>
          <w:tcPr>
            <w:tcW w:w="9468" w:type="dxa"/>
            <w:gridSpan w:val="3"/>
          </w:tcPr>
          <w:p w:rsidR="00CD409D" w:rsidRDefault="00CD409D" w:rsidP="00204045">
            <w:pPr>
              <w:spacing w:after="200" w:line="276" w:lineRule="auto"/>
              <w:jc w:val="center"/>
              <w:rPr>
                <w:rFonts w:ascii="Arial" w:eastAsia="Calibri" w:hAnsi="Arial" w:cs="Arial"/>
                <w:b/>
                <w:sz w:val="22"/>
                <w:szCs w:val="22"/>
                <w:lang w:val="en-US" w:eastAsia="en-US"/>
              </w:rPr>
            </w:pPr>
          </w:p>
          <w:p w:rsidR="00204045" w:rsidRPr="00CD409D" w:rsidRDefault="00204045" w:rsidP="00204045">
            <w:pPr>
              <w:spacing w:after="200" w:line="276" w:lineRule="auto"/>
              <w:jc w:val="center"/>
              <w:rPr>
                <w:rFonts w:ascii="Arial" w:eastAsia="Calibri" w:hAnsi="Arial" w:cs="Arial"/>
                <w:b/>
                <w:sz w:val="22"/>
                <w:szCs w:val="22"/>
                <w:lang w:val="en-US" w:eastAsia="en-US"/>
              </w:rPr>
            </w:pPr>
            <w:r w:rsidRPr="00CD409D">
              <w:rPr>
                <w:rFonts w:ascii="Arial" w:eastAsia="Calibri" w:hAnsi="Arial" w:cs="Arial"/>
                <w:b/>
                <w:sz w:val="22"/>
                <w:szCs w:val="22"/>
                <w:lang w:val="en-US" w:eastAsia="en-US"/>
              </w:rPr>
              <w:t>Empreendimento de eventos</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Arx Eventos;</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Brilhante Eventos;</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lastRenderedPageBreak/>
              <w:t>Celebre;</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D&amp;E Entretenimento;</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DS Promoções e Aluguel;</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F. Everton;</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Ikone Eventos;</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Nativa;</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Rosa Eventos Promoções;</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VC – Eventos;</w:t>
            </w:r>
          </w:p>
        </w:tc>
      </w:tr>
      <w:tr w:rsidR="00204045" w:rsidRPr="00CD409D" w:rsidTr="00204045">
        <w:tc>
          <w:tcPr>
            <w:tcW w:w="4360" w:type="dxa"/>
          </w:tcPr>
          <w:p w:rsidR="00204045" w:rsidRPr="00CD409D" w:rsidRDefault="00204045" w:rsidP="00204045">
            <w:pPr>
              <w:spacing w:after="200" w:line="276" w:lineRule="auto"/>
              <w:rPr>
                <w:rFonts w:ascii="Arial" w:eastAsia="Calibri" w:hAnsi="Arial" w:cs="Arial"/>
                <w:sz w:val="22"/>
                <w:szCs w:val="22"/>
                <w:lang w:val="en-US" w:eastAsia="en-US"/>
              </w:rPr>
            </w:pPr>
            <w:r w:rsidRPr="00CD409D">
              <w:rPr>
                <w:rFonts w:ascii="Arial" w:eastAsia="Calibri" w:hAnsi="Arial" w:cs="Arial"/>
                <w:sz w:val="22"/>
                <w:szCs w:val="22"/>
                <w:lang w:val="en-US" w:eastAsia="en-US"/>
              </w:rPr>
              <w:t>Via de Comunicação.</w:t>
            </w:r>
          </w:p>
        </w:tc>
        <w:tc>
          <w:tcPr>
            <w:tcW w:w="5108" w:type="dxa"/>
            <w:gridSpan w:val="2"/>
          </w:tcPr>
          <w:p w:rsidR="00204045" w:rsidRPr="00CD409D" w:rsidRDefault="00204045" w:rsidP="00204045">
            <w:pPr>
              <w:spacing w:after="200" w:line="276" w:lineRule="auto"/>
              <w:rPr>
                <w:rFonts w:ascii="Arial" w:eastAsia="Calibri" w:hAnsi="Arial" w:cs="Arial"/>
                <w:sz w:val="22"/>
                <w:szCs w:val="22"/>
                <w:lang w:val="en-US" w:eastAsia="en-US"/>
              </w:rPr>
            </w:pPr>
          </w:p>
        </w:tc>
      </w:tr>
    </w:tbl>
    <w:p w:rsidR="00204045" w:rsidRPr="00CD409D" w:rsidRDefault="00204045" w:rsidP="00204045">
      <w:pPr>
        <w:rPr>
          <w:rFonts w:ascii="Arial" w:hAnsi="Arial" w:cs="Arial"/>
          <w:sz w:val="22"/>
          <w:szCs w:val="22"/>
        </w:rPr>
      </w:pPr>
    </w:p>
    <w:p w:rsidR="001121B3" w:rsidRPr="00CD409D" w:rsidRDefault="001121B3"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Default="004C6629" w:rsidP="00BF4427">
      <w:pPr>
        <w:spacing w:line="360" w:lineRule="auto"/>
        <w:jc w:val="both"/>
        <w:rPr>
          <w:rFonts w:ascii="Arial" w:hAnsi="Arial" w:cs="Arial"/>
          <w:sz w:val="22"/>
          <w:szCs w:val="22"/>
          <w:lang w:val="en-US"/>
        </w:rPr>
      </w:pPr>
    </w:p>
    <w:p w:rsidR="00CD409D" w:rsidRDefault="00CD409D" w:rsidP="00BF4427">
      <w:pPr>
        <w:spacing w:line="360" w:lineRule="auto"/>
        <w:jc w:val="both"/>
        <w:rPr>
          <w:rFonts w:ascii="Arial" w:hAnsi="Arial" w:cs="Arial"/>
          <w:sz w:val="22"/>
          <w:szCs w:val="22"/>
          <w:lang w:val="en-US"/>
        </w:rPr>
      </w:pPr>
    </w:p>
    <w:p w:rsidR="00CD409D" w:rsidRDefault="00CD409D" w:rsidP="00BF4427">
      <w:pPr>
        <w:spacing w:line="360" w:lineRule="auto"/>
        <w:jc w:val="both"/>
        <w:rPr>
          <w:rFonts w:ascii="Arial" w:hAnsi="Arial" w:cs="Arial"/>
          <w:sz w:val="22"/>
          <w:szCs w:val="22"/>
          <w:lang w:val="en-US"/>
        </w:rPr>
      </w:pPr>
    </w:p>
    <w:p w:rsidR="00CD409D" w:rsidRDefault="00CD409D" w:rsidP="00BF4427">
      <w:pPr>
        <w:spacing w:line="360" w:lineRule="auto"/>
        <w:jc w:val="both"/>
        <w:rPr>
          <w:rFonts w:ascii="Arial" w:hAnsi="Arial" w:cs="Arial"/>
          <w:sz w:val="22"/>
          <w:szCs w:val="22"/>
          <w:lang w:val="en-US"/>
        </w:rPr>
      </w:pPr>
    </w:p>
    <w:p w:rsidR="00CD409D" w:rsidRDefault="00CD409D" w:rsidP="00BF4427">
      <w:pPr>
        <w:spacing w:line="360" w:lineRule="auto"/>
        <w:jc w:val="both"/>
        <w:rPr>
          <w:rFonts w:ascii="Arial" w:hAnsi="Arial" w:cs="Arial"/>
          <w:sz w:val="22"/>
          <w:szCs w:val="22"/>
          <w:lang w:val="en-US"/>
        </w:rPr>
      </w:pPr>
    </w:p>
    <w:p w:rsidR="00CD409D" w:rsidRPr="00CD409D" w:rsidRDefault="00CD409D"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4C6629" w:rsidRPr="00CD409D" w:rsidRDefault="004C6629" w:rsidP="00BF4427">
      <w:pPr>
        <w:spacing w:line="360" w:lineRule="auto"/>
        <w:jc w:val="both"/>
        <w:rPr>
          <w:rFonts w:ascii="Arial" w:hAnsi="Arial" w:cs="Arial"/>
          <w:sz w:val="22"/>
          <w:szCs w:val="22"/>
          <w:lang w:val="en-US"/>
        </w:rPr>
      </w:pPr>
    </w:p>
    <w:p w:rsidR="003B7933" w:rsidRDefault="003B7933" w:rsidP="004C6629">
      <w:pPr>
        <w:spacing w:line="360" w:lineRule="auto"/>
        <w:jc w:val="both"/>
        <w:rPr>
          <w:rFonts w:ascii="Arial" w:hAnsi="Arial" w:cs="Arial"/>
          <w:sz w:val="22"/>
          <w:szCs w:val="22"/>
          <w:lang w:val="en-US"/>
        </w:rPr>
      </w:pPr>
    </w:p>
    <w:p w:rsidR="004C6629" w:rsidRPr="00CD409D" w:rsidRDefault="004C6629" w:rsidP="004C6629">
      <w:pPr>
        <w:spacing w:line="360" w:lineRule="auto"/>
        <w:jc w:val="both"/>
        <w:rPr>
          <w:rFonts w:ascii="Arial" w:hAnsi="Arial" w:cs="Arial"/>
          <w:b/>
          <w:sz w:val="22"/>
          <w:szCs w:val="22"/>
          <w:lang w:val="en-US"/>
        </w:rPr>
      </w:pPr>
      <w:r w:rsidRPr="00CD409D">
        <w:rPr>
          <w:rFonts w:ascii="Arial" w:hAnsi="Arial" w:cs="Arial"/>
          <w:b/>
          <w:sz w:val="22"/>
          <w:szCs w:val="22"/>
          <w:lang w:val="en-US"/>
        </w:rPr>
        <w:lastRenderedPageBreak/>
        <w:t>CURRICULO VITAE</w:t>
      </w:r>
    </w:p>
    <w:p w:rsidR="004C6629" w:rsidRPr="00CD409D" w:rsidRDefault="004C6629" w:rsidP="004C6629">
      <w:pPr>
        <w:spacing w:line="360" w:lineRule="auto"/>
        <w:jc w:val="both"/>
        <w:rPr>
          <w:rFonts w:ascii="Arial" w:hAnsi="Arial" w:cs="Arial"/>
          <w:sz w:val="22"/>
          <w:szCs w:val="22"/>
          <w:lang w:val="en-US"/>
        </w:rPr>
      </w:pPr>
    </w:p>
    <w:p w:rsidR="004C6629" w:rsidRPr="00CD409D" w:rsidRDefault="004C6629" w:rsidP="004C6629">
      <w:pPr>
        <w:jc w:val="both"/>
        <w:rPr>
          <w:rFonts w:ascii="Arial" w:hAnsi="Arial" w:cs="Arial"/>
          <w:color w:val="2A2A2A"/>
          <w:sz w:val="22"/>
          <w:szCs w:val="22"/>
        </w:rPr>
      </w:pPr>
      <w:r w:rsidRPr="00CD409D">
        <w:rPr>
          <w:rFonts w:ascii="Arial" w:hAnsi="Arial" w:cs="Arial"/>
          <w:b/>
          <w:bCs/>
          <w:color w:val="2A2A2A"/>
          <w:sz w:val="22"/>
          <w:szCs w:val="22"/>
        </w:rPr>
        <w:t>Dados Pessoais</w:t>
      </w:r>
      <w:r w:rsidRPr="00CD409D">
        <w:rPr>
          <w:rFonts w:ascii="Arial" w:hAnsi="Arial" w:cs="Arial"/>
          <w:color w:val="2A2A2A"/>
          <w:sz w:val="22"/>
          <w:szCs w:val="22"/>
        </w:rPr>
        <w:t xml:space="preserv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Nome completo – Márcia Regina Milanesio Cunha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Número de Identidade: 11.641.289-6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Órgão emissor: SSP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Estado: São Paulo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Data de nascimento: 17/01/59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r>
      <w:r w:rsidRPr="00CD409D">
        <w:rPr>
          <w:rFonts w:ascii="Arial" w:hAnsi="Arial" w:cs="Arial"/>
          <w:b/>
          <w:bCs/>
          <w:color w:val="2A2A2A"/>
          <w:sz w:val="22"/>
          <w:szCs w:val="22"/>
        </w:rPr>
        <w:t>Dados para Contato</w:t>
      </w:r>
      <w:r w:rsidRPr="00CD409D">
        <w:rPr>
          <w:rFonts w:ascii="Arial" w:hAnsi="Arial" w:cs="Arial"/>
          <w:color w:val="2A2A2A"/>
          <w:sz w:val="22"/>
          <w:szCs w:val="22"/>
        </w:rPr>
        <w:t xml:space="preserv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Endereço: Super Quadra Sul 311; Bloco I; Apartamento 204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Bairro: Plano Piloto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Cidade: Brasília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Estado: Distrito Federal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CEP: 70364090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Telefones: </w:t>
      </w:r>
      <w:r w:rsidRPr="00CD409D">
        <w:rPr>
          <w:rFonts w:ascii="Arial" w:hAnsi="Arial" w:cs="Arial"/>
          <w:color w:val="2A2A2A"/>
          <w:sz w:val="22"/>
          <w:szCs w:val="22"/>
        </w:rPr>
        <w:br/>
      </w:r>
      <w:r w:rsidRPr="00CD409D">
        <w:rPr>
          <w:rFonts w:ascii="Arial" w:hAnsi="Arial" w:cs="Arial"/>
          <w:color w:val="2A2A2A"/>
          <w:sz w:val="22"/>
          <w:szCs w:val="22"/>
        </w:rPr>
        <w:br/>
        <w:t xml:space="preserve">- residencial: (61) 3905-8039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 celular: (61) 9970-5998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 trabalho: (61) 3217-0710 ou 3217-0712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 fax: (61) 3217-0732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 e-mail: </w:t>
      </w:r>
      <w:hyperlink r:id="rId50" w:history="1">
        <w:r w:rsidRPr="00CD409D">
          <w:rPr>
            <w:rStyle w:val="Hyperlink"/>
            <w:rFonts w:ascii="Arial" w:hAnsi="Arial" w:cs="Arial"/>
            <w:sz w:val="22"/>
            <w:szCs w:val="22"/>
          </w:rPr>
          <w:t>imprensa.sesicn@sesi.org.br</w:t>
        </w:r>
      </w:hyperlink>
      <w:r w:rsidRPr="00CD409D">
        <w:rPr>
          <w:rFonts w:ascii="Arial" w:hAnsi="Arial" w:cs="Arial"/>
          <w:color w:val="2A2A2A"/>
          <w:sz w:val="22"/>
          <w:szCs w:val="22"/>
        </w:rPr>
        <w:t xml:space="preserve"> ou </w:t>
      </w:r>
      <w:hyperlink r:id="rId51" w:history="1">
        <w:r w:rsidRPr="00CD409D">
          <w:rPr>
            <w:rStyle w:val="Hyperlink"/>
            <w:rFonts w:ascii="Arial" w:hAnsi="Arial" w:cs="Arial"/>
            <w:sz w:val="22"/>
            <w:szCs w:val="22"/>
          </w:rPr>
          <w:t>trescunha@yahoo.com.br</w:t>
        </w:r>
      </w:hyperlink>
      <w:r w:rsidRPr="00CD409D">
        <w:rPr>
          <w:rFonts w:ascii="Arial" w:hAnsi="Arial" w:cs="Arial"/>
          <w:color w:val="2A2A2A"/>
          <w:sz w:val="22"/>
          <w:szCs w:val="22"/>
        </w:rPr>
        <w:t xml:space="preserv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r>
      <w:r w:rsidRPr="00CD409D">
        <w:rPr>
          <w:rFonts w:ascii="Arial" w:hAnsi="Arial" w:cs="Arial"/>
          <w:b/>
          <w:bCs/>
          <w:color w:val="2A2A2A"/>
          <w:sz w:val="22"/>
          <w:szCs w:val="22"/>
        </w:rPr>
        <w:t>Formação Acadêmica</w:t>
      </w:r>
      <w:r w:rsidRPr="00CD409D">
        <w:rPr>
          <w:rFonts w:ascii="Arial" w:hAnsi="Arial" w:cs="Arial"/>
          <w:color w:val="2A2A2A"/>
          <w:sz w:val="22"/>
          <w:szCs w:val="22"/>
        </w:rPr>
        <w:t xml:space="preserv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Graduação </w:t>
      </w:r>
      <w:r w:rsidRPr="00CD409D">
        <w:rPr>
          <w:rFonts w:ascii="Arial" w:hAnsi="Arial" w:cs="Arial"/>
          <w:color w:val="2A2A2A"/>
          <w:sz w:val="22"/>
          <w:szCs w:val="22"/>
        </w:rPr>
        <w:br/>
        <w:t xml:space="preserve">- Curso: Bacharelado </w:t>
      </w:r>
      <w:smartTag w:uri="urn:schemas-microsoft-com:office:smarttags" w:element="PersonName">
        <w:smartTagPr>
          <w:attr w:name="ProductID" w:val="em Comunica￧￣o Social"/>
        </w:smartTagPr>
        <w:r w:rsidRPr="00CD409D">
          <w:rPr>
            <w:rFonts w:ascii="Arial" w:hAnsi="Arial" w:cs="Arial"/>
            <w:color w:val="2A2A2A"/>
            <w:sz w:val="22"/>
            <w:szCs w:val="22"/>
          </w:rPr>
          <w:t>em Comunicação Social</w:t>
        </w:r>
      </w:smartTag>
      <w:r w:rsidRPr="00CD409D">
        <w:rPr>
          <w:rFonts w:ascii="Arial" w:hAnsi="Arial" w:cs="Arial"/>
          <w:color w:val="2A2A2A"/>
          <w:sz w:val="22"/>
          <w:szCs w:val="22"/>
        </w:rPr>
        <w:t xml:space="preserve"> com ênfase em Jornalismo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 Instituição: Faculdade de Comunicação do Instituto Metodista de Ensino Superior – São Paulo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 Ano de Conclusão: 1984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r>
      <w:r w:rsidRPr="00CD409D">
        <w:rPr>
          <w:rFonts w:ascii="Arial" w:hAnsi="Arial" w:cs="Arial"/>
          <w:b/>
          <w:bCs/>
          <w:color w:val="2A2A2A"/>
          <w:sz w:val="22"/>
          <w:szCs w:val="22"/>
        </w:rPr>
        <w:t>Especialização</w:t>
      </w:r>
      <w:r w:rsidRPr="00CD409D">
        <w:rPr>
          <w:rFonts w:ascii="Arial" w:hAnsi="Arial" w:cs="Arial"/>
          <w:color w:val="2A2A2A"/>
          <w:sz w:val="22"/>
          <w:szCs w:val="22"/>
        </w:rPr>
        <w:t xml:space="preserve"> </w:t>
      </w:r>
      <w:r w:rsidRPr="00CD409D">
        <w:rPr>
          <w:rFonts w:ascii="Arial" w:hAnsi="Arial" w:cs="Arial"/>
          <w:color w:val="2A2A2A"/>
          <w:sz w:val="22"/>
          <w:szCs w:val="22"/>
        </w:rPr>
        <w:br/>
      </w:r>
      <w:r w:rsidRPr="00CD409D">
        <w:rPr>
          <w:rFonts w:ascii="Arial" w:hAnsi="Arial" w:cs="Arial"/>
          <w:color w:val="2A2A2A"/>
          <w:sz w:val="22"/>
          <w:szCs w:val="22"/>
        </w:rPr>
        <w:br/>
        <w:t xml:space="preserve">- Curso: Comunicação Corporativa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 Instituição: Fundação Escola de Comércio Álvares Penteado (FECAP)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 Ano de Conclusão: 2008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r>
      <w:r w:rsidRPr="00CD409D">
        <w:rPr>
          <w:rFonts w:ascii="Arial" w:hAnsi="Arial" w:cs="Arial"/>
          <w:b/>
          <w:bCs/>
          <w:color w:val="2A2A2A"/>
          <w:sz w:val="22"/>
          <w:szCs w:val="22"/>
        </w:rPr>
        <w:t>Cursos Extra Curriculares</w:t>
      </w:r>
      <w:r w:rsidRPr="00CD409D">
        <w:rPr>
          <w:rFonts w:ascii="Arial" w:hAnsi="Arial" w:cs="Arial"/>
          <w:color w:val="2A2A2A"/>
          <w:sz w:val="22"/>
          <w:szCs w:val="22"/>
        </w:rPr>
        <w:t xml:space="preserv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Curso: Gestão Estratégica para Dirigentes Empresariais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Instituição: INSEAD – Fontainebleau (França)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Duração: de </w:t>
      </w:r>
      <w:smartTag w:uri="urn:schemas-microsoft-com:office:smarttags" w:element="metricconverter">
        <w:smartTagPr>
          <w:attr w:name="ProductID" w:val="14 a"/>
        </w:smartTagPr>
        <w:r w:rsidRPr="00CD409D">
          <w:rPr>
            <w:rFonts w:ascii="Arial" w:hAnsi="Arial" w:cs="Arial"/>
            <w:color w:val="2A2A2A"/>
            <w:sz w:val="22"/>
            <w:szCs w:val="22"/>
          </w:rPr>
          <w:t>14 a</w:t>
        </w:r>
      </w:smartTag>
      <w:r w:rsidRPr="00CD409D">
        <w:rPr>
          <w:rFonts w:ascii="Arial" w:hAnsi="Arial" w:cs="Arial"/>
          <w:color w:val="2A2A2A"/>
          <w:sz w:val="22"/>
          <w:szCs w:val="22"/>
        </w:rPr>
        <w:t xml:space="preserve"> 20 de novembro de 2004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lastRenderedPageBreak/>
        <w:t xml:space="preserve">Considerações: O programa completo possuía atual conteúdo empresarial e conseguiu retratar, em todas as disciplinas, as mais recentes transformações face às ocorrências globais que vivemos nos últimos tempos. Todo o conteúdo foi oferecido visando preparar empresas brasileiras para atuarem com mais competitividade no mercado mundial. </w:t>
      </w:r>
      <w:r w:rsidRPr="00CD409D">
        <w:rPr>
          <w:rFonts w:ascii="Arial" w:hAnsi="Arial" w:cs="Arial"/>
          <w:color w:val="2A2A2A"/>
          <w:sz w:val="22"/>
          <w:szCs w:val="22"/>
        </w:rPr>
        <w:br/>
      </w:r>
      <w:r w:rsidRPr="00CD409D">
        <w:rPr>
          <w:rFonts w:ascii="Arial" w:hAnsi="Arial" w:cs="Arial"/>
          <w:color w:val="2A2A2A"/>
          <w:sz w:val="22"/>
          <w:szCs w:val="22"/>
        </w:rPr>
        <w:br/>
        <w:t xml:space="preserve">Curso: Novas formas de organização do Trabalho e formação contínua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Instituição: Organização Internacional do Trabalho (OIT) – Turim (Itália)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Duração: de 22 de maio a 4 de junho de 2005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Considerações: Realidade do mercado Europeu e as interferências na economia com massificação de produtos chineses. As providências que o País e a Europa estavam tomando e os novos rumos para a retomada do crescimento. Fomos conhecer em loco as transformações na área rural, com visitas a produções de uvas e a empresas vinicultores, assim como conhecemos indústrias automobilísticas e algumas câmaras setoriais. </w:t>
      </w:r>
      <w:r w:rsidRPr="00CD409D">
        <w:rPr>
          <w:rFonts w:ascii="Arial" w:hAnsi="Arial" w:cs="Arial"/>
          <w:color w:val="2A2A2A"/>
          <w:sz w:val="22"/>
          <w:szCs w:val="22"/>
        </w:rPr>
        <w:br/>
      </w:r>
      <w:r w:rsidRPr="00CD409D">
        <w:rPr>
          <w:rFonts w:ascii="Arial" w:hAnsi="Arial" w:cs="Arial"/>
          <w:color w:val="2A2A2A"/>
          <w:sz w:val="22"/>
          <w:szCs w:val="22"/>
        </w:rPr>
        <w:br/>
      </w:r>
      <w:r w:rsidRPr="00CD409D">
        <w:rPr>
          <w:rFonts w:ascii="Arial" w:hAnsi="Arial" w:cs="Arial"/>
          <w:b/>
          <w:bCs/>
          <w:color w:val="2A2A2A"/>
          <w:sz w:val="22"/>
          <w:szCs w:val="22"/>
        </w:rPr>
        <w:t>Experiência de Trabalho</w:t>
      </w:r>
      <w:r w:rsidRPr="00CD409D">
        <w:rPr>
          <w:rFonts w:ascii="Arial" w:hAnsi="Arial" w:cs="Arial"/>
          <w:color w:val="2A2A2A"/>
          <w:sz w:val="22"/>
          <w:szCs w:val="22"/>
        </w:rPr>
        <w:t xml:space="preserve"> </w:t>
      </w:r>
      <w:r w:rsidRPr="00CD409D">
        <w:rPr>
          <w:rFonts w:ascii="Arial" w:hAnsi="Arial" w:cs="Arial"/>
          <w:b/>
          <w:bCs/>
          <w:color w:val="2A2A2A"/>
          <w:sz w:val="22"/>
          <w:szCs w:val="22"/>
        </w:rPr>
        <w:t>Profissional– Técnica</w:t>
      </w:r>
      <w:r w:rsidRPr="00CD409D">
        <w:rPr>
          <w:rFonts w:ascii="Arial" w:hAnsi="Arial" w:cs="Arial"/>
          <w:color w:val="2A2A2A"/>
          <w:sz w:val="22"/>
          <w:szCs w:val="22"/>
        </w:rPr>
        <w:t xml:space="preserv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Empresa: Conselho Nacional do Sesi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Coordenadora da Assessoria de Comunicação e Editora- chefe da publicação do Conselho Nacional do SESI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desde abril de 2003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r>
      <w:r w:rsidRPr="00CD409D">
        <w:rPr>
          <w:rFonts w:ascii="Arial" w:hAnsi="Arial" w:cs="Arial"/>
          <w:b/>
          <w:bCs/>
          <w:color w:val="2A2A2A"/>
          <w:sz w:val="22"/>
          <w:szCs w:val="22"/>
        </w:rPr>
        <w:t>Principais projetos desenvolvidos:</w:t>
      </w:r>
      <w:r w:rsidRPr="00CD409D">
        <w:rPr>
          <w:rFonts w:ascii="Arial" w:hAnsi="Arial" w:cs="Arial"/>
          <w:color w:val="2A2A2A"/>
          <w:sz w:val="22"/>
          <w:szCs w:val="22"/>
        </w:rPr>
        <w:t xml:space="preserv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Título: Revista do Conselho Nacional do Sesi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no Projeto: editora - chefe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2004; 2005; 2006; 2007; 2008 e 2010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Título: Informe Sesi/CN (News Letter)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Função: editora</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2010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Título: Projeto ViraVida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Assessora de imprensa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w:t>
      </w:r>
      <w:smartTag w:uri="urn:schemas-microsoft-com:office:smarttags" w:element="metricconverter">
        <w:smartTagPr>
          <w:attr w:name="ProductID" w:val="2008 a"/>
        </w:smartTagPr>
        <w:r w:rsidRPr="00CD409D">
          <w:rPr>
            <w:rFonts w:ascii="Arial" w:hAnsi="Arial" w:cs="Arial"/>
            <w:color w:val="2A2A2A"/>
            <w:sz w:val="22"/>
            <w:szCs w:val="22"/>
          </w:rPr>
          <w:t>2008 a</w:t>
        </w:r>
      </w:smartTag>
      <w:r w:rsidRPr="00CD409D">
        <w:rPr>
          <w:rFonts w:ascii="Arial" w:hAnsi="Arial" w:cs="Arial"/>
          <w:color w:val="2A2A2A"/>
          <w:sz w:val="22"/>
          <w:szCs w:val="22"/>
        </w:rPr>
        <w:t xml:space="preserve"> 2010 </w:t>
      </w:r>
    </w:p>
    <w:p w:rsidR="004C6629" w:rsidRPr="00CD409D" w:rsidRDefault="004C6629" w:rsidP="004C6629">
      <w:pPr>
        <w:jc w:val="both"/>
        <w:rPr>
          <w:rFonts w:ascii="Arial" w:hAnsi="Arial" w:cs="Arial"/>
          <w:color w:val="2A2A2A"/>
          <w:sz w:val="22"/>
          <w:szCs w:val="22"/>
        </w:rPr>
      </w:pP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Título: Carta Social (informativo impresso)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no Projeto: editora e redatora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w:t>
      </w:r>
      <w:smartTag w:uri="urn:schemas-microsoft-com:office:smarttags" w:element="metricconverter">
        <w:smartTagPr>
          <w:attr w:name="ProductID" w:val="2004 a"/>
        </w:smartTagPr>
        <w:r w:rsidRPr="00CD409D">
          <w:rPr>
            <w:rFonts w:ascii="Arial" w:hAnsi="Arial" w:cs="Arial"/>
            <w:color w:val="2A2A2A"/>
            <w:sz w:val="22"/>
            <w:szCs w:val="22"/>
          </w:rPr>
          <w:t>2004 a</w:t>
        </w:r>
      </w:smartTag>
      <w:r w:rsidRPr="00CD409D">
        <w:rPr>
          <w:rFonts w:ascii="Arial" w:hAnsi="Arial" w:cs="Arial"/>
          <w:color w:val="2A2A2A"/>
          <w:sz w:val="22"/>
          <w:szCs w:val="22"/>
        </w:rPr>
        <w:t xml:space="preserve"> 2006 .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Título: Fórum Nacional do Sistema S - permanente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no Projeto: Divulgação e Coordenação de materiais informativos.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Período: desde 2003</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Título: SITE do Conselho Nacional do SESI</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Implantação e gerenciamento na manutenção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2004 e 2006 </w:t>
      </w:r>
    </w:p>
    <w:p w:rsidR="004C6629" w:rsidRPr="00CD409D" w:rsidRDefault="004C6629" w:rsidP="004C6629">
      <w:pPr>
        <w:jc w:val="both"/>
        <w:rPr>
          <w:rFonts w:ascii="Arial" w:hAnsi="Arial" w:cs="Arial"/>
          <w:color w:val="2A2A2A"/>
          <w:sz w:val="22"/>
          <w:szCs w:val="22"/>
        </w:rPr>
      </w:pP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Título: Projeto Cozinha Brasil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no Projeto: Divulgação nos Estados e Coordenação de materiais informativos. Supervisão de campanha publicitária, incluindo, vídeos, out-door e peças impressas. </w:t>
      </w:r>
      <w:r w:rsidRPr="00CD409D">
        <w:rPr>
          <w:rFonts w:ascii="Arial" w:hAnsi="Arial" w:cs="Arial"/>
          <w:color w:val="2A2A2A"/>
          <w:sz w:val="22"/>
          <w:szCs w:val="22"/>
        </w:rPr>
        <w:br/>
        <w:t xml:space="preserve">Período: </w:t>
      </w:r>
      <w:smartTag w:uri="urn:schemas-microsoft-com:office:smarttags" w:element="metricconverter">
        <w:smartTagPr>
          <w:attr w:name="ProductID" w:val="2004 a"/>
        </w:smartTagPr>
        <w:r w:rsidRPr="00CD409D">
          <w:rPr>
            <w:rFonts w:ascii="Arial" w:hAnsi="Arial" w:cs="Arial"/>
            <w:color w:val="2A2A2A"/>
            <w:sz w:val="22"/>
            <w:szCs w:val="22"/>
          </w:rPr>
          <w:t>2004 a</w:t>
        </w:r>
      </w:smartTag>
      <w:r w:rsidRPr="00CD409D">
        <w:rPr>
          <w:rFonts w:ascii="Arial" w:hAnsi="Arial" w:cs="Arial"/>
          <w:color w:val="2A2A2A"/>
          <w:sz w:val="22"/>
          <w:szCs w:val="22"/>
        </w:rPr>
        <w:t xml:space="preserve"> 2008 </w:t>
      </w:r>
    </w:p>
    <w:p w:rsidR="006D506D" w:rsidRPr="00CD409D" w:rsidRDefault="006D506D" w:rsidP="004C6629">
      <w:pPr>
        <w:jc w:val="both"/>
        <w:rPr>
          <w:rFonts w:ascii="Arial" w:hAnsi="Arial" w:cs="Arial"/>
          <w:color w:val="2A2A2A"/>
          <w:sz w:val="22"/>
          <w:szCs w:val="22"/>
        </w:rPr>
      </w:pPr>
    </w:p>
    <w:p w:rsidR="006D506D" w:rsidRPr="00CD409D" w:rsidRDefault="006D506D" w:rsidP="004C6629">
      <w:pPr>
        <w:jc w:val="both"/>
        <w:rPr>
          <w:rFonts w:ascii="Arial" w:hAnsi="Arial" w:cs="Arial"/>
          <w:color w:val="2A2A2A"/>
          <w:sz w:val="22"/>
          <w:szCs w:val="22"/>
        </w:rPr>
      </w:pP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lastRenderedPageBreak/>
        <w:br/>
        <w:t xml:space="preserve">Título: Projeto Caju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no Projeto: Divulgação nos Estados do Nordeste e Coordenadora de materiais informativos. Supervisão de campanha publicitária, incluindo, vídeos, out-door e peças Impressas. </w:t>
      </w:r>
      <w:r w:rsidRPr="00CD409D">
        <w:rPr>
          <w:rFonts w:ascii="Arial" w:hAnsi="Arial" w:cs="Arial"/>
          <w:color w:val="2A2A2A"/>
          <w:sz w:val="22"/>
          <w:szCs w:val="22"/>
        </w:rPr>
        <w:br/>
        <w:t xml:space="preserve">Período: 2007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Título do Projeto: Revista do Fórum Nacional do Sistema S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no Projeto: editora – chefe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2006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Empresa: APAS – Associação Paulista de Supermercados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Assessora de imprensa e repórter da revista Super/Varejo – veículo de circulação nacional da associação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w:t>
      </w:r>
      <w:smartTag w:uri="urn:schemas-microsoft-com:office:smarttags" w:element="metricconverter">
        <w:smartTagPr>
          <w:attr w:name="ProductID" w:val="1995 a"/>
        </w:smartTagPr>
        <w:r w:rsidRPr="00CD409D">
          <w:rPr>
            <w:rFonts w:ascii="Arial" w:hAnsi="Arial" w:cs="Arial"/>
            <w:color w:val="2A2A2A"/>
            <w:sz w:val="22"/>
            <w:szCs w:val="22"/>
          </w:rPr>
          <w:t>1995 a</w:t>
        </w:r>
      </w:smartTag>
      <w:r w:rsidRPr="00CD409D">
        <w:rPr>
          <w:rFonts w:ascii="Arial" w:hAnsi="Arial" w:cs="Arial"/>
          <w:color w:val="2A2A2A"/>
          <w:sz w:val="22"/>
          <w:szCs w:val="22"/>
        </w:rPr>
        <w:t xml:space="preserve"> 2002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Empresa: Informare – Assessoria de Comunicação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Gerente de Contas: Sucesu; United Destillers; Faculdade Anhembi Morumbi, IBEF (Instituto Brasileiro de Executivos Financeiros)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1993 a 1995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Instituição: Sociedade Brasileira de Cardiologia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Editora da revista Pressão – veículo da entidade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Período: 1992</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Consórcio Intermunicipal das Bacias dos rios Piracicaba e Capivari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Assessora de imprensa e jornalista responsável pelo informativo “Água Viva” </w:t>
      </w:r>
      <w:r w:rsidRPr="00CD409D">
        <w:rPr>
          <w:rFonts w:ascii="Arial" w:hAnsi="Arial" w:cs="Arial"/>
          <w:color w:val="2A2A2A"/>
          <w:sz w:val="22"/>
          <w:szCs w:val="22"/>
        </w:rPr>
        <w:br/>
        <w:t xml:space="preserve">Período: 1989 a 1991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Central Única dos Trabalhadores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Coordenadora do Departamento de Comunicação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1989 a 1990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Articulação Nacional do Solo Urbano (ONG)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Criação e desenvolvimento de projeto editorial do jornal “Solo Urbano”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1989 a 1990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Diretório Nacional do Partido dos Trabalhadores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Assessora de imprensa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1985 a 1992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Rede Ferroviária Federal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trainne no departamento de Comunicação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Período: 1983 a 1984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Prefeitura Municipal de Santo André – SP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Função: trainne no jornal informativo da prefeitura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Período: 1983</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br/>
        <w:t xml:space="preserve">Área de atuação profissional: Comunicação Social  </w:t>
      </w:r>
    </w:p>
    <w:p w:rsidR="004C6629" w:rsidRPr="00CD409D" w:rsidRDefault="004C6629" w:rsidP="004C6629">
      <w:pPr>
        <w:jc w:val="both"/>
        <w:rPr>
          <w:rFonts w:ascii="Arial" w:hAnsi="Arial" w:cs="Arial"/>
          <w:color w:val="2A2A2A"/>
          <w:sz w:val="22"/>
          <w:szCs w:val="22"/>
        </w:rPr>
      </w:pPr>
      <w:r w:rsidRPr="00CD409D">
        <w:rPr>
          <w:rFonts w:ascii="Arial" w:hAnsi="Arial" w:cs="Arial"/>
          <w:color w:val="2A2A2A"/>
          <w:sz w:val="22"/>
          <w:szCs w:val="22"/>
        </w:rPr>
        <w:t xml:space="preserve">Conhecimento e capacidade de análise sobre o cenário político e social </w:t>
      </w:r>
      <w:r w:rsidRPr="00CD409D">
        <w:rPr>
          <w:rFonts w:ascii="Arial" w:hAnsi="Arial" w:cs="Arial"/>
          <w:color w:val="2A2A2A"/>
          <w:sz w:val="22"/>
          <w:szCs w:val="22"/>
        </w:rPr>
        <w:br/>
        <w:t xml:space="preserve">Experiência de estrutura, funcionamento e trânsito dos meios de imprensa </w:t>
      </w:r>
      <w:r w:rsidRPr="00CD409D">
        <w:rPr>
          <w:rFonts w:ascii="Arial" w:hAnsi="Arial" w:cs="Arial"/>
          <w:color w:val="2A2A2A"/>
          <w:sz w:val="22"/>
          <w:szCs w:val="22"/>
        </w:rPr>
        <w:br/>
        <w:t xml:space="preserve">Relação com órgãos de comunicação, rede de jornalistas e lideres de opinião </w:t>
      </w:r>
      <w:r w:rsidRPr="00CD409D">
        <w:rPr>
          <w:rFonts w:ascii="Arial" w:hAnsi="Arial" w:cs="Arial"/>
          <w:color w:val="2A2A2A"/>
          <w:sz w:val="22"/>
          <w:szCs w:val="22"/>
        </w:rPr>
        <w:br/>
        <w:t xml:space="preserve">Responsável, desde a implantação, por projetos específicos de comunicação para </w:t>
      </w:r>
      <w:r w:rsidRPr="00CD409D">
        <w:rPr>
          <w:rFonts w:ascii="Arial" w:hAnsi="Arial" w:cs="Arial"/>
          <w:color w:val="2A2A2A"/>
          <w:sz w:val="22"/>
          <w:szCs w:val="22"/>
        </w:rPr>
        <w:lastRenderedPageBreak/>
        <w:t xml:space="preserve">programas sociais, Levantamento de dados para informes, sites e publicações.  </w:t>
      </w:r>
      <w:r w:rsidRPr="00CD409D">
        <w:rPr>
          <w:rFonts w:ascii="Arial" w:hAnsi="Arial" w:cs="Arial"/>
          <w:color w:val="2A2A2A"/>
          <w:sz w:val="22"/>
          <w:szCs w:val="22"/>
        </w:rPr>
        <w:br/>
        <w:t xml:space="preserve">Divulgação de relatórios e estatísticas dos projetos, edição de publicação, organização e coordenação de seminários e eventos, acompanhamento das campanhas e projetos na mídia, manutenção do site da instituição </w:t>
      </w:r>
    </w:p>
    <w:p w:rsidR="004C6629" w:rsidRPr="00CD409D" w:rsidRDefault="004C6629" w:rsidP="004C6629">
      <w:pPr>
        <w:spacing w:line="360" w:lineRule="auto"/>
        <w:rPr>
          <w:rFonts w:ascii="Arial" w:hAnsi="Arial" w:cs="Arial"/>
          <w:sz w:val="22"/>
          <w:szCs w:val="22"/>
        </w:rPr>
      </w:pPr>
    </w:p>
    <w:p w:rsidR="00FD62A0" w:rsidRPr="00CD409D" w:rsidRDefault="00FD62A0">
      <w:pPr>
        <w:spacing w:line="360" w:lineRule="auto"/>
        <w:rPr>
          <w:rFonts w:ascii="Arial" w:hAnsi="Arial" w:cs="Arial"/>
          <w:sz w:val="22"/>
          <w:szCs w:val="22"/>
        </w:rPr>
      </w:pPr>
    </w:p>
    <w:sectPr w:rsidR="00FD62A0" w:rsidRPr="00CD409D" w:rsidSect="00332AB7">
      <w:footerReference w:type="default" r:id="rId52"/>
      <w:footnotePr>
        <w:numRestart w:val="eachSect"/>
      </w:footnotePr>
      <w:pgSz w:w="11906" w:h="16838"/>
      <w:pgMar w:top="1474" w:right="1474" w:bottom="1474" w:left="1474" w:header="709" w:footer="709" w:gutter="0"/>
      <w:pgNumType w:fmt="lowerRoman" w:start="7"/>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30F8" w:rsidRDefault="002030F8">
      <w:r>
        <w:separator/>
      </w:r>
    </w:p>
  </w:endnote>
  <w:endnote w:type="continuationSeparator" w:id="1">
    <w:p w:rsidR="002030F8" w:rsidRDefault="002030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ArialMT">
    <w:altName w:val="Times New Roman"/>
    <w:charset w:val="00"/>
    <w:family w:val="swiss"/>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roman"/>
    <w:notTrueType/>
    <w:pitch w:val="default"/>
    <w:sig w:usb0="00000003" w:usb1="00000000" w:usb2="00000000" w:usb3="00000000" w:csb0="00000001" w:csb1="00000000"/>
  </w:font>
  <w:font w:name="TimesNewRomanPSMT">
    <w:altName w:val="Arial Unicode MS"/>
    <w:panose1 w:val="00000000000000000000"/>
    <w:charset w:val="88"/>
    <w:family w:val="auto"/>
    <w:notTrueType/>
    <w:pitch w:val="default"/>
    <w:sig w:usb0="00000003" w:usb1="08080000" w:usb2="00000010" w:usb3="00000000" w:csb0="00100001" w:csb1="00000000"/>
  </w:font>
  <w:font w:name="Times-Roman">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swiss"/>
    <w:notTrueType/>
    <w:pitch w:val="default"/>
    <w:sig w:usb0="00000003" w:usb1="00000000" w:usb2="00000000" w:usb3="00000000" w:csb0="00000001" w:csb1="00000000"/>
  </w:font>
  <w:font w:name="TTE169FD7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8F9" w:rsidRDefault="00F478F9" w:rsidP="00DC2B2D">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478F9" w:rsidRDefault="00F478F9" w:rsidP="00DC2B2D">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8F9" w:rsidRDefault="00F478F9">
    <w:pPr>
      <w:pStyle w:val="Rodap"/>
      <w:jc w:val="right"/>
    </w:pPr>
  </w:p>
  <w:p w:rsidR="00F478F9" w:rsidRDefault="00F478F9">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8F9" w:rsidRDefault="00F478F9">
    <w:pPr>
      <w:pStyle w:val="Rodap"/>
      <w:jc w:val="right"/>
    </w:pPr>
    <w:fldSimple w:instr=" PAGE   \* MERGEFORMAT ">
      <w:r w:rsidR="007B6200">
        <w:rPr>
          <w:noProof/>
        </w:rPr>
        <w:t>ii</w:t>
      </w:r>
    </w:fldSimple>
  </w:p>
  <w:p w:rsidR="00F478F9" w:rsidRDefault="00F478F9">
    <w:pPr>
      <w:pStyle w:val="Rodap"/>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8F9" w:rsidRDefault="00F478F9" w:rsidP="00DC2B2D">
    <w:pPr>
      <w:pStyle w:val="Rodap"/>
      <w:framePr w:wrap="around" w:vAnchor="text" w:hAnchor="margin" w:xAlign="right" w:y="1"/>
      <w:rPr>
        <w:rStyle w:val="Nmerodepgina"/>
      </w:rPr>
    </w:pPr>
  </w:p>
  <w:p w:rsidR="00F478F9" w:rsidRDefault="00F478F9" w:rsidP="00DC2B2D">
    <w:pPr>
      <w:pStyle w:val="Rodap"/>
      <w:jc w:val="right"/>
    </w:pPr>
    <w:r>
      <w:rPr>
        <w:rStyle w:val="Nmerodepgina"/>
      </w:rPr>
      <w:fldChar w:fldCharType="begin"/>
    </w:r>
    <w:r>
      <w:rPr>
        <w:rStyle w:val="Nmerodepgina"/>
      </w:rPr>
      <w:instrText xml:space="preserve"> PAGE </w:instrText>
    </w:r>
    <w:r>
      <w:rPr>
        <w:rStyle w:val="Nmerodepgina"/>
      </w:rPr>
      <w:fldChar w:fldCharType="separate"/>
    </w:r>
    <w:r w:rsidR="007B6200">
      <w:rPr>
        <w:rStyle w:val="Nmerodepgina"/>
        <w:noProof/>
      </w:rPr>
      <w:t>2</w:t>
    </w:r>
    <w:r>
      <w:rPr>
        <w:rStyle w:val="Nmerodepgina"/>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8F9" w:rsidRDefault="00F478F9">
    <w:pPr>
      <w:pStyle w:val="Rodap"/>
      <w:jc w:val="right"/>
    </w:pPr>
    <w:fldSimple w:instr=" PAGE   \* MERGEFORMAT ">
      <w:r w:rsidR="007B6200">
        <w:rPr>
          <w:noProof/>
        </w:rPr>
        <w:t>vii</w:t>
      </w:r>
    </w:fldSimple>
  </w:p>
  <w:p w:rsidR="00F478F9" w:rsidRDefault="00F478F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30F8" w:rsidRDefault="002030F8">
      <w:r>
        <w:separator/>
      </w:r>
    </w:p>
  </w:footnote>
  <w:footnote w:type="continuationSeparator" w:id="1">
    <w:p w:rsidR="002030F8" w:rsidRDefault="002030F8">
      <w:r>
        <w:continuationSeparator/>
      </w:r>
    </w:p>
  </w:footnote>
  <w:footnote w:id="2">
    <w:p w:rsidR="00F478F9" w:rsidRDefault="00F478F9">
      <w:pPr>
        <w:pStyle w:val="Textodenotaderodap"/>
      </w:pPr>
      <w:r>
        <w:rPr>
          <w:rStyle w:val="Refdenotaderodap"/>
        </w:rPr>
        <w:footnoteRef/>
      </w:r>
      <w:r>
        <w:t xml:space="preserve"> O </w:t>
      </w:r>
      <w:r w:rsidRPr="00795FC0">
        <w:rPr>
          <w:i/>
        </w:rPr>
        <w:t>new right</w:t>
      </w:r>
      <w:r>
        <w:t xml:space="preserve"> defende formas liberais de padrões possíveis de ação, realçando a eficiência e a capacidade do mercado como método de apoiar a tomada de decisão e a escolha individual.</w:t>
      </w:r>
    </w:p>
  </w:footnote>
  <w:footnote w:id="3">
    <w:p w:rsidR="00F478F9" w:rsidRDefault="00F478F9" w:rsidP="001121B3">
      <w:pPr>
        <w:pStyle w:val="Textodenotaderodap"/>
      </w:pPr>
      <w:r>
        <w:rPr>
          <w:rStyle w:val="Refdenotaderodap"/>
        </w:rPr>
        <w:footnoteRef/>
      </w:r>
      <w:r>
        <w:t xml:space="preserve"> O conceito de burocracia utilizado neste trabalho é o Weberiano, que a trata como sendo a organização eficiente por excelência.</w:t>
      </w:r>
    </w:p>
  </w:footnote>
  <w:footnote w:id="4">
    <w:p w:rsidR="00F478F9" w:rsidRPr="006A338B" w:rsidRDefault="00F478F9" w:rsidP="006A338B">
      <w:pPr>
        <w:pStyle w:val="Textodenotaderodap"/>
        <w:jc w:val="both"/>
      </w:pPr>
      <w:r>
        <w:rPr>
          <w:rStyle w:val="Refdenotaderodap"/>
        </w:rPr>
        <w:footnoteRef/>
      </w:r>
      <w:r>
        <w:t xml:space="preserve"> Os serviços sociais citados pelo </w:t>
      </w:r>
      <w:r w:rsidRPr="006A338B">
        <w:t>autor são - a educação, a saúde, a cultura, a previdência e a assistência social, a pesquisa científica - e de papéis econômicos - regulação do sistema econômico interno e das relações econômicas internacionais, estabilidade da moeda e do sistema financeiro, provisão de serviços públicos e de infraestrutura,</w:t>
      </w:r>
    </w:p>
  </w:footnote>
  <w:footnote w:id="5">
    <w:p w:rsidR="00F478F9" w:rsidRDefault="00F478F9" w:rsidP="005B328A">
      <w:pPr>
        <w:pStyle w:val="Textodenotaderodap"/>
        <w:jc w:val="both"/>
      </w:pPr>
      <w:r>
        <w:rPr>
          <w:rStyle w:val="Refdenotaderodap"/>
        </w:rPr>
        <w:footnoteRef/>
      </w:r>
      <w:r>
        <w:t xml:space="preserve"> </w:t>
      </w:r>
      <w:r w:rsidRPr="005B328A">
        <w:t>O Sist</w:t>
      </w:r>
      <w:r w:rsidRPr="002A1169">
        <w:t>ema S é composto por diversas instituições, a saber: Serviço Social do Comércio (SESC), Serviço Nacional de Aprendizagem Industrial (SENAI), Serviço Social da Indústria (SESI),  Serviço Nacional de Aprendizagem Comercial (SENAC), Instituto Euvaldo Lodi (IEL), Serviço Nacional de Aprendizagem Rural (SENAR), Serviço</w:t>
      </w:r>
      <w:r w:rsidRPr="005B328A">
        <w:t xml:space="preserve"> Nacional de Aprendizagem em Transportes (SENAT), Serviço Brasileiro de apoio às pequenas e médias empresas (</w:t>
      </w:r>
      <w:r>
        <w:t>SEBRAE</w:t>
      </w:r>
      <w:r w:rsidRPr="005B328A">
        <w:t>), Serviço Nacional de Aprendizagem do Coorporativismo (</w:t>
      </w:r>
      <w:r>
        <w:t>SESC</w:t>
      </w:r>
      <w:r w:rsidRPr="005B328A">
        <w:t>OOP)</w:t>
      </w:r>
    </w:p>
  </w:footnote>
  <w:footnote w:id="6">
    <w:p w:rsidR="00F478F9" w:rsidRDefault="00F478F9" w:rsidP="00FB0942">
      <w:pPr>
        <w:pStyle w:val="Textodenotaderodap"/>
        <w:jc w:val="both"/>
      </w:pPr>
      <w:r>
        <w:rPr>
          <w:rStyle w:val="Refdenotaderodap"/>
        </w:rPr>
        <w:footnoteRef/>
      </w:r>
      <w:r>
        <w:t xml:space="preserve">  O coeficiente de Gini mede a desigualdade de qualquer tipo de distribuição, sendo utilizado principalmente para medir a desigualdade na distribuição de renda. De acordo com o referido coeficiente, medido entre 0 e 1, quanto mais próximo de 0, menor a desigualdade e quanto mais próximo de 1, maior.</w:t>
      </w:r>
    </w:p>
  </w:footnote>
  <w:footnote w:id="7">
    <w:p w:rsidR="00F478F9" w:rsidRDefault="00F478F9" w:rsidP="00FB0942">
      <w:pPr>
        <w:pStyle w:val="Textodenotaderodap"/>
      </w:pPr>
      <w:r>
        <w:rPr>
          <w:rStyle w:val="Refdenotaderodap"/>
        </w:rPr>
        <w:footnoteRef/>
      </w:r>
      <w:r>
        <w:t xml:space="preserve"> Foram considerados no estudo dados referentes a 18 municípios do estado do Ceará.</w:t>
      </w:r>
    </w:p>
  </w:footnote>
  <w:footnote w:id="8">
    <w:p w:rsidR="00F478F9" w:rsidRDefault="00F478F9" w:rsidP="00FB0942">
      <w:pPr>
        <w:pStyle w:val="Textodenotaderodap"/>
      </w:pPr>
      <w:r>
        <w:rPr>
          <w:rStyle w:val="Refdenotaderodap"/>
        </w:rPr>
        <w:footnoteRef/>
      </w:r>
      <w:r>
        <w:t xml:space="preserve"> Nas pesquisas Criança infeliz de 1998 e na Pesquisa sobre exploração secual comercial de crianças e adolescentes no estado do Ceará de 2003, o número de meninos explorados era respectivamente 27,1% e 10,6%</w:t>
      </w:r>
    </w:p>
  </w:footnote>
  <w:footnote w:id="9">
    <w:p w:rsidR="00F478F9" w:rsidRDefault="00F478F9">
      <w:pPr>
        <w:pStyle w:val="Textodenotaderodap"/>
      </w:pPr>
      <w:r>
        <w:rPr>
          <w:rStyle w:val="Refdenotaderodap"/>
        </w:rPr>
        <w:footnoteRef/>
      </w:r>
      <w:r>
        <w:t xml:space="preserve"> O salário mínimo no Brasil, no ano de 2010 é de R$ 510,00</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136B56A"/>
    <w:lvl w:ilvl="0">
      <w:numFmt w:val="bullet"/>
      <w:lvlText w:val="*"/>
      <w:lvlJc w:val="left"/>
    </w:lvl>
  </w:abstractNum>
  <w:abstractNum w:abstractNumId="1">
    <w:nsid w:val="3D6F79CC"/>
    <w:multiLevelType w:val="multilevel"/>
    <w:tmpl w:val="AEE89EF4"/>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401D5FF5"/>
    <w:multiLevelType w:val="hybridMultilevel"/>
    <w:tmpl w:val="A8B260E2"/>
    <w:lvl w:ilvl="0" w:tplc="753E6F26">
      <w:start w:val="4"/>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lvlOverride w:ilvl="0">
      <w:lvl w:ilvl="0">
        <w:numFmt w:val="bullet"/>
        <w:lvlText w:val=""/>
        <w:legacy w:legacy="1" w:legacySpace="0" w:legacyIndent="360"/>
        <w:lvlJc w:val="left"/>
        <w:rPr>
          <w:rFonts w:ascii="Symbol" w:hAnsi="Symbol" w:hint="default"/>
        </w:rPr>
      </w:lvl>
    </w:lvlOverride>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1121B3"/>
    <w:rsid w:val="0000629A"/>
    <w:rsid w:val="00006928"/>
    <w:rsid w:val="000215B1"/>
    <w:rsid w:val="00021B0A"/>
    <w:rsid w:val="00026B3E"/>
    <w:rsid w:val="00045437"/>
    <w:rsid w:val="00052464"/>
    <w:rsid w:val="00061ABB"/>
    <w:rsid w:val="000620A7"/>
    <w:rsid w:val="0006750D"/>
    <w:rsid w:val="00071350"/>
    <w:rsid w:val="00071842"/>
    <w:rsid w:val="00082FC0"/>
    <w:rsid w:val="00087727"/>
    <w:rsid w:val="0009702C"/>
    <w:rsid w:val="000A7E67"/>
    <w:rsid w:val="000B7CBF"/>
    <w:rsid w:val="000D786D"/>
    <w:rsid w:val="000F07F6"/>
    <w:rsid w:val="000F328D"/>
    <w:rsid w:val="000F4899"/>
    <w:rsid w:val="000F5293"/>
    <w:rsid w:val="000F54D7"/>
    <w:rsid w:val="000F5719"/>
    <w:rsid w:val="001121B3"/>
    <w:rsid w:val="00117BAF"/>
    <w:rsid w:val="00121CCA"/>
    <w:rsid w:val="00122CB7"/>
    <w:rsid w:val="001231E5"/>
    <w:rsid w:val="001334D4"/>
    <w:rsid w:val="001427FC"/>
    <w:rsid w:val="00142B12"/>
    <w:rsid w:val="00142F38"/>
    <w:rsid w:val="0014339D"/>
    <w:rsid w:val="001528C1"/>
    <w:rsid w:val="00162AC7"/>
    <w:rsid w:val="00164EB3"/>
    <w:rsid w:val="00173BFD"/>
    <w:rsid w:val="00173ED4"/>
    <w:rsid w:val="00174561"/>
    <w:rsid w:val="00174AD5"/>
    <w:rsid w:val="00177B1F"/>
    <w:rsid w:val="00180CE0"/>
    <w:rsid w:val="0018111D"/>
    <w:rsid w:val="00187B0A"/>
    <w:rsid w:val="00193032"/>
    <w:rsid w:val="001933E3"/>
    <w:rsid w:val="00197AAE"/>
    <w:rsid w:val="001A157A"/>
    <w:rsid w:val="001A5223"/>
    <w:rsid w:val="001A7E0E"/>
    <w:rsid w:val="001B0891"/>
    <w:rsid w:val="001B61A0"/>
    <w:rsid w:val="001C2E00"/>
    <w:rsid w:val="001C70A1"/>
    <w:rsid w:val="001D1C9C"/>
    <w:rsid w:val="001E5FAB"/>
    <w:rsid w:val="001E6EE9"/>
    <w:rsid w:val="001F224C"/>
    <w:rsid w:val="001F3C3C"/>
    <w:rsid w:val="001F43B7"/>
    <w:rsid w:val="001F64FC"/>
    <w:rsid w:val="00202951"/>
    <w:rsid w:val="002030F8"/>
    <w:rsid w:val="00204045"/>
    <w:rsid w:val="0021265E"/>
    <w:rsid w:val="002265C1"/>
    <w:rsid w:val="002277B1"/>
    <w:rsid w:val="00235781"/>
    <w:rsid w:val="00247357"/>
    <w:rsid w:val="0024743A"/>
    <w:rsid w:val="002518CC"/>
    <w:rsid w:val="0025436E"/>
    <w:rsid w:val="00254EAB"/>
    <w:rsid w:val="00256B89"/>
    <w:rsid w:val="00261FA6"/>
    <w:rsid w:val="00265DD6"/>
    <w:rsid w:val="002661B2"/>
    <w:rsid w:val="0027239B"/>
    <w:rsid w:val="0028124A"/>
    <w:rsid w:val="00286FCD"/>
    <w:rsid w:val="00287ADC"/>
    <w:rsid w:val="002934A7"/>
    <w:rsid w:val="002A1169"/>
    <w:rsid w:val="002A2DEC"/>
    <w:rsid w:val="002B35FF"/>
    <w:rsid w:val="002B73A2"/>
    <w:rsid w:val="002C27D8"/>
    <w:rsid w:val="002C5F75"/>
    <w:rsid w:val="002C66AA"/>
    <w:rsid w:val="002D1E87"/>
    <w:rsid w:val="002E41CD"/>
    <w:rsid w:val="002E7287"/>
    <w:rsid w:val="002F1656"/>
    <w:rsid w:val="002F306E"/>
    <w:rsid w:val="002F65FF"/>
    <w:rsid w:val="0030055B"/>
    <w:rsid w:val="003031E9"/>
    <w:rsid w:val="003043D2"/>
    <w:rsid w:val="003152C8"/>
    <w:rsid w:val="0031766E"/>
    <w:rsid w:val="003234F0"/>
    <w:rsid w:val="00332AB7"/>
    <w:rsid w:val="00340170"/>
    <w:rsid w:val="003439F9"/>
    <w:rsid w:val="003522B6"/>
    <w:rsid w:val="00354A78"/>
    <w:rsid w:val="0036181D"/>
    <w:rsid w:val="00362CC6"/>
    <w:rsid w:val="00363293"/>
    <w:rsid w:val="00363800"/>
    <w:rsid w:val="00366370"/>
    <w:rsid w:val="003678A1"/>
    <w:rsid w:val="003824C6"/>
    <w:rsid w:val="00393757"/>
    <w:rsid w:val="003A24C7"/>
    <w:rsid w:val="003A447F"/>
    <w:rsid w:val="003B7933"/>
    <w:rsid w:val="003C3524"/>
    <w:rsid w:val="003C5D92"/>
    <w:rsid w:val="003C613E"/>
    <w:rsid w:val="003D0419"/>
    <w:rsid w:val="003D188F"/>
    <w:rsid w:val="003D5D32"/>
    <w:rsid w:val="003E338A"/>
    <w:rsid w:val="003E467C"/>
    <w:rsid w:val="003E5F15"/>
    <w:rsid w:val="003F0C8B"/>
    <w:rsid w:val="003F2449"/>
    <w:rsid w:val="003F43C5"/>
    <w:rsid w:val="003F48BA"/>
    <w:rsid w:val="00404C5A"/>
    <w:rsid w:val="00404C99"/>
    <w:rsid w:val="00407373"/>
    <w:rsid w:val="004111DB"/>
    <w:rsid w:val="00424B86"/>
    <w:rsid w:val="004250AF"/>
    <w:rsid w:val="0042726A"/>
    <w:rsid w:val="00431DE1"/>
    <w:rsid w:val="00432583"/>
    <w:rsid w:val="004477E9"/>
    <w:rsid w:val="00447E1C"/>
    <w:rsid w:val="0045018A"/>
    <w:rsid w:val="00452784"/>
    <w:rsid w:val="00452FF8"/>
    <w:rsid w:val="004537A7"/>
    <w:rsid w:val="00455483"/>
    <w:rsid w:val="004557D8"/>
    <w:rsid w:val="00457560"/>
    <w:rsid w:val="00462084"/>
    <w:rsid w:val="00462536"/>
    <w:rsid w:val="00466A91"/>
    <w:rsid w:val="00467453"/>
    <w:rsid w:val="00474846"/>
    <w:rsid w:val="004946F9"/>
    <w:rsid w:val="004A4C2B"/>
    <w:rsid w:val="004B7AFC"/>
    <w:rsid w:val="004C12EC"/>
    <w:rsid w:val="004C423A"/>
    <w:rsid w:val="004C6629"/>
    <w:rsid w:val="004C736F"/>
    <w:rsid w:val="004D107C"/>
    <w:rsid w:val="004D4127"/>
    <w:rsid w:val="004D4298"/>
    <w:rsid w:val="004D6613"/>
    <w:rsid w:val="004D77CF"/>
    <w:rsid w:val="004E0EC2"/>
    <w:rsid w:val="004E149F"/>
    <w:rsid w:val="004E53C6"/>
    <w:rsid w:val="004F27B2"/>
    <w:rsid w:val="004F4AA9"/>
    <w:rsid w:val="00501D5A"/>
    <w:rsid w:val="00501F5A"/>
    <w:rsid w:val="005022C4"/>
    <w:rsid w:val="00524592"/>
    <w:rsid w:val="00530B17"/>
    <w:rsid w:val="005337B4"/>
    <w:rsid w:val="00537312"/>
    <w:rsid w:val="0055272D"/>
    <w:rsid w:val="00556A85"/>
    <w:rsid w:val="00567939"/>
    <w:rsid w:val="00572FA8"/>
    <w:rsid w:val="00580D21"/>
    <w:rsid w:val="00581017"/>
    <w:rsid w:val="00581D23"/>
    <w:rsid w:val="005821A1"/>
    <w:rsid w:val="00585369"/>
    <w:rsid w:val="005867EB"/>
    <w:rsid w:val="00586E65"/>
    <w:rsid w:val="0058718A"/>
    <w:rsid w:val="005A0FE5"/>
    <w:rsid w:val="005A20A5"/>
    <w:rsid w:val="005B328A"/>
    <w:rsid w:val="005B3930"/>
    <w:rsid w:val="005B69C1"/>
    <w:rsid w:val="005C1DDB"/>
    <w:rsid w:val="005C348C"/>
    <w:rsid w:val="005C5BA2"/>
    <w:rsid w:val="005C6545"/>
    <w:rsid w:val="005C7A61"/>
    <w:rsid w:val="005D0D1C"/>
    <w:rsid w:val="005D4C94"/>
    <w:rsid w:val="005E11E5"/>
    <w:rsid w:val="005F2A05"/>
    <w:rsid w:val="005F381F"/>
    <w:rsid w:val="005F5BEE"/>
    <w:rsid w:val="005F703D"/>
    <w:rsid w:val="0060014C"/>
    <w:rsid w:val="00613F28"/>
    <w:rsid w:val="00616951"/>
    <w:rsid w:val="006217F6"/>
    <w:rsid w:val="006263D7"/>
    <w:rsid w:val="00627E33"/>
    <w:rsid w:val="00630B77"/>
    <w:rsid w:val="006373F7"/>
    <w:rsid w:val="006414A3"/>
    <w:rsid w:val="00641743"/>
    <w:rsid w:val="00641F69"/>
    <w:rsid w:val="00642242"/>
    <w:rsid w:val="0064657D"/>
    <w:rsid w:val="00647C02"/>
    <w:rsid w:val="00655F2A"/>
    <w:rsid w:val="006565F1"/>
    <w:rsid w:val="00667AF3"/>
    <w:rsid w:val="00670AB3"/>
    <w:rsid w:val="006818BC"/>
    <w:rsid w:val="00692A95"/>
    <w:rsid w:val="00693BFD"/>
    <w:rsid w:val="006A338B"/>
    <w:rsid w:val="006B3DB2"/>
    <w:rsid w:val="006B56F2"/>
    <w:rsid w:val="006B7191"/>
    <w:rsid w:val="006B7B8F"/>
    <w:rsid w:val="006C02BD"/>
    <w:rsid w:val="006C08AE"/>
    <w:rsid w:val="006C1886"/>
    <w:rsid w:val="006C6A08"/>
    <w:rsid w:val="006D506D"/>
    <w:rsid w:val="006E04EE"/>
    <w:rsid w:val="006E1928"/>
    <w:rsid w:val="006E41FB"/>
    <w:rsid w:val="0070139C"/>
    <w:rsid w:val="00703998"/>
    <w:rsid w:val="00704FB0"/>
    <w:rsid w:val="00707618"/>
    <w:rsid w:val="007077B8"/>
    <w:rsid w:val="0071199F"/>
    <w:rsid w:val="00711D49"/>
    <w:rsid w:val="00712645"/>
    <w:rsid w:val="00715BA9"/>
    <w:rsid w:val="00727228"/>
    <w:rsid w:val="00727DFC"/>
    <w:rsid w:val="00732206"/>
    <w:rsid w:val="0073266F"/>
    <w:rsid w:val="00742A6A"/>
    <w:rsid w:val="007454AB"/>
    <w:rsid w:val="00750239"/>
    <w:rsid w:val="007526ED"/>
    <w:rsid w:val="00755CCE"/>
    <w:rsid w:val="0076112F"/>
    <w:rsid w:val="00762E65"/>
    <w:rsid w:val="00765105"/>
    <w:rsid w:val="00765EAD"/>
    <w:rsid w:val="00766550"/>
    <w:rsid w:val="007743DF"/>
    <w:rsid w:val="007836D6"/>
    <w:rsid w:val="007941FF"/>
    <w:rsid w:val="00795FC0"/>
    <w:rsid w:val="007A3227"/>
    <w:rsid w:val="007A6739"/>
    <w:rsid w:val="007B3E03"/>
    <w:rsid w:val="007B6082"/>
    <w:rsid w:val="007B6200"/>
    <w:rsid w:val="007C0002"/>
    <w:rsid w:val="007C105C"/>
    <w:rsid w:val="007C22B2"/>
    <w:rsid w:val="007D32E5"/>
    <w:rsid w:val="007D3B26"/>
    <w:rsid w:val="007E14C2"/>
    <w:rsid w:val="007E2AB1"/>
    <w:rsid w:val="007E3B77"/>
    <w:rsid w:val="007E4CC7"/>
    <w:rsid w:val="007F3670"/>
    <w:rsid w:val="007F4827"/>
    <w:rsid w:val="007F4E25"/>
    <w:rsid w:val="007F4F90"/>
    <w:rsid w:val="007F6CE2"/>
    <w:rsid w:val="00801D3F"/>
    <w:rsid w:val="008044EE"/>
    <w:rsid w:val="0080691F"/>
    <w:rsid w:val="008074A3"/>
    <w:rsid w:val="0082050F"/>
    <w:rsid w:val="00825C7C"/>
    <w:rsid w:val="008311E2"/>
    <w:rsid w:val="008354D2"/>
    <w:rsid w:val="00835C2F"/>
    <w:rsid w:val="00842D17"/>
    <w:rsid w:val="00847705"/>
    <w:rsid w:val="00856A0C"/>
    <w:rsid w:val="00860531"/>
    <w:rsid w:val="008639D5"/>
    <w:rsid w:val="0086736E"/>
    <w:rsid w:val="008757F1"/>
    <w:rsid w:val="00875C40"/>
    <w:rsid w:val="00875DFE"/>
    <w:rsid w:val="0087604F"/>
    <w:rsid w:val="008825C6"/>
    <w:rsid w:val="00894C70"/>
    <w:rsid w:val="008962C5"/>
    <w:rsid w:val="008A110B"/>
    <w:rsid w:val="008C1AFE"/>
    <w:rsid w:val="008C33D7"/>
    <w:rsid w:val="008C5163"/>
    <w:rsid w:val="008D14A1"/>
    <w:rsid w:val="008D1F36"/>
    <w:rsid w:val="008D202B"/>
    <w:rsid w:val="008E6638"/>
    <w:rsid w:val="008E7A15"/>
    <w:rsid w:val="008F4D7B"/>
    <w:rsid w:val="008F5554"/>
    <w:rsid w:val="00903C11"/>
    <w:rsid w:val="00903C48"/>
    <w:rsid w:val="009066A4"/>
    <w:rsid w:val="0092603B"/>
    <w:rsid w:val="00927639"/>
    <w:rsid w:val="00933F2B"/>
    <w:rsid w:val="00941674"/>
    <w:rsid w:val="00944845"/>
    <w:rsid w:val="00952C42"/>
    <w:rsid w:val="00955602"/>
    <w:rsid w:val="00957DF1"/>
    <w:rsid w:val="00963925"/>
    <w:rsid w:val="00971EAF"/>
    <w:rsid w:val="00972B06"/>
    <w:rsid w:val="009759ED"/>
    <w:rsid w:val="00976105"/>
    <w:rsid w:val="0098038A"/>
    <w:rsid w:val="00982CFE"/>
    <w:rsid w:val="00985754"/>
    <w:rsid w:val="0099636F"/>
    <w:rsid w:val="009A2014"/>
    <w:rsid w:val="009A318F"/>
    <w:rsid w:val="009A6F2D"/>
    <w:rsid w:val="009A7639"/>
    <w:rsid w:val="009A764C"/>
    <w:rsid w:val="009B75E6"/>
    <w:rsid w:val="009C224F"/>
    <w:rsid w:val="009C2BB5"/>
    <w:rsid w:val="009C557D"/>
    <w:rsid w:val="009C731C"/>
    <w:rsid w:val="009D2DED"/>
    <w:rsid w:val="009D346F"/>
    <w:rsid w:val="009D59A7"/>
    <w:rsid w:val="009E4713"/>
    <w:rsid w:val="009F0C25"/>
    <w:rsid w:val="009F1B2A"/>
    <w:rsid w:val="009F466A"/>
    <w:rsid w:val="00A04018"/>
    <w:rsid w:val="00A06942"/>
    <w:rsid w:val="00A1033C"/>
    <w:rsid w:val="00A124D6"/>
    <w:rsid w:val="00A12874"/>
    <w:rsid w:val="00A140A5"/>
    <w:rsid w:val="00A170ED"/>
    <w:rsid w:val="00A172E7"/>
    <w:rsid w:val="00A22B90"/>
    <w:rsid w:val="00A23424"/>
    <w:rsid w:val="00A31BCF"/>
    <w:rsid w:val="00A34834"/>
    <w:rsid w:val="00A37594"/>
    <w:rsid w:val="00A37C22"/>
    <w:rsid w:val="00A42F1F"/>
    <w:rsid w:val="00A44179"/>
    <w:rsid w:val="00A4525A"/>
    <w:rsid w:val="00A50FE2"/>
    <w:rsid w:val="00A56719"/>
    <w:rsid w:val="00A57A15"/>
    <w:rsid w:val="00A61D3D"/>
    <w:rsid w:val="00A62290"/>
    <w:rsid w:val="00A65D88"/>
    <w:rsid w:val="00A67054"/>
    <w:rsid w:val="00A73125"/>
    <w:rsid w:val="00A75D4F"/>
    <w:rsid w:val="00A83E9D"/>
    <w:rsid w:val="00A84F83"/>
    <w:rsid w:val="00A85E06"/>
    <w:rsid w:val="00A90CDD"/>
    <w:rsid w:val="00A93BF6"/>
    <w:rsid w:val="00AA0231"/>
    <w:rsid w:val="00AA333C"/>
    <w:rsid w:val="00AA6A16"/>
    <w:rsid w:val="00AB1B86"/>
    <w:rsid w:val="00AC2D19"/>
    <w:rsid w:val="00AC760E"/>
    <w:rsid w:val="00AC7BF9"/>
    <w:rsid w:val="00AD0411"/>
    <w:rsid w:val="00AD48DA"/>
    <w:rsid w:val="00AD57FB"/>
    <w:rsid w:val="00AF33F1"/>
    <w:rsid w:val="00AF3EDC"/>
    <w:rsid w:val="00AF7742"/>
    <w:rsid w:val="00B1440E"/>
    <w:rsid w:val="00B14CC7"/>
    <w:rsid w:val="00B169BF"/>
    <w:rsid w:val="00B2437A"/>
    <w:rsid w:val="00B30A48"/>
    <w:rsid w:val="00B31660"/>
    <w:rsid w:val="00B357DE"/>
    <w:rsid w:val="00B42211"/>
    <w:rsid w:val="00B4336B"/>
    <w:rsid w:val="00B45268"/>
    <w:rsid w:val="00B46294"/>
    <w:rsid w:val="00B46772"/>
    <w:rsid w:val="00B50403"/>
    <w:rsid w:val="00B52950"/>
    <w:rsid w:val="00B53E3F"/>
    <w:rsid w:val="00B640E8"/>
    <w:rsid w:val="00B711B2"/>
    <w:rsid w:val="00B7203B"/>
    <w:rsid w:val="00B73959"/>
    <w:rsid w:val="00B73DDE"/>
    <w:rsid w:val="00B753E9"/>
    <w:rsid w:val="00B8056D"/>
    <w:rsid w:val="00B83955"/>
    <w:rsid w:val="00B92BB5"/>
    <w:rsid w:val="00B947DE"/>
    <w:rsid w:val="00B94A6A"/>
    <w:rsid w:val="00B95DDF"/>
    <w:rsid w:val="00B961F0"/>
    <w:rsid w:val="00BA0AF7"/>
    <w:rsid w:val="00BA6601"/>
    <w:rsid w:val="00BA7174"/>
    <w:rsid w:val="00BB313D"/>
    <w:rsid w:val="00BB3EB2"/>
    <w:rsid w:val="00BB6CA7"/>
    <w:rsid w:val="00BC4F66"/>
    <w:rsid w:val="00BD391C"/>
    <w:rsid w:val="00BD5261"/>
    <w:rsid w:val="00BE2155"/>
    <w:rsid w:val="00BE4F09"/>
    <w:rsid w:val="00BF1918"/>
    <w:rsid w:val="00BF4427"/>
    <w:rsid w:val="00C02187"/>
    <w:rsid w:val="00C054D8"/>
    <w:rsid w:val="00C06E3F"/>
    <w:rsid w:val="00C07AF5"/>
    <w:rsid w:val="00C144DF"/>
    <w:rsid w:val="00C15016"/>
    <w:rsid w:val="00C17FD4"/>
    <w:rsid w:val="00C20B87"/>
    <w:rsid w:val="00C23F0B"/>
    <w:rsid w:val="00C3371B"/>
    <w:rsid w:val="00C35A34"/>
    <w:rsid w:val="00C3625A"/>
    <w:rsid w:val="00C525A6"/>
    <w:rsid w:val="00C57F60"/>
    <w:rsid w:val="00C62D41"/>
    <w:rsid w:val="00C630AD"/>
    <w:rsid w:val="00C6795F"/>
    <w:rsid w:val="00C67BD3"/>
    <w:rsid w:val="00C81A3B"/>
    <w:rsid w:val="00C90C33"/>
    <w:rsid w:val="00C937CF"/>
    <w:rsid w:val="00C93A53"/>
    <w:rsid w:val="00C95A26"/>
    <w:rsid w:val="00C96D91"/>
    <w:rsid w:val="00C97A45"/>
    <w:rsid w:val="00CA2DF6"/>
    <w:rsid w:val="00CA5D8E"/>
    <w:rsid w:val="00CA64CF"/>
    <w:rsid w:val="00CB2423"/>
    <w:rsid w:val="00CC1650"/>
    <w:rsid w:val="00CC7F2C"/>
    <w:rsid w:val="00CD1455"/>
    <w:rsid w:val="00CD409D"/>
    <w:rsid w:val="00CE2C56"/>
    <w:rsid w:val="00CE3C93"/>
    <w:rsid w:val="00CE4325"/>
    <w:rsid w:val="00CE438E"/>
    <w:rsid w:val="00CE5EC5"/>
    <w:rsid w:val="00CF04DE"/>
    <w:rsid w:val="00CF3001"/>
    <w:rsid w:val="00CF3B0E"/>
    <w:rsid w:val="00CF5CEE"/>
    <w:rsid w:val="00CF6818"/>
    <w:rsid w:val="00CF6DF3"/>
    <w:rsid w:val="00D01877"/>
    <w:rsid w:val="00D01949"/>
    <w:rsid w:val="00D03277"/>
    <w:rsid w:val="00D044A6"/>
    <w:rsid w:val="00D1349B"/>
    <w:rsid w:val="00D13BDD"/>
    <w:rsid w:val="00D13ED5"/>
    <w:rsid w:val="00D21163"/>
    <w:rsid w:val="00D252F2"/>
    <w:rsid w:val="00D306FA"/>
    <w:rsid w:val="00D33040"/>
    <w:rsid w:val="00D340AA"/>
    <w:rsid w:val="00D348A1"/>
    <w:rsid w:val="00D363AE"/>
    <w:rsid w:val="00D364E3"/>
    <w:rsid w:val="00D37D91"/>
    <w:rsid w:val="00D433DE"/>
    <w:rsid w:val="00D52F9A"/>
    <w:rsid w:val="00D622AE"/>
    <w:rsid w:val="00D63F6E"/>
    <w:rsid w:val="00D67D34"/>
    <w:rsid w:val="00D80C0A"/>
    <w:rsid w:val="00D824CB"/>
    <w:rsid w:val="00D87631"/>
    <w:rsid w:val="00D87EF7"/>
    <w:rsid w:val="00D9159C"/>
    <w:rsid w:val="00D953CD"/>
    <w:rsid w:val="00DA1DD2"/>
    <w:rsid w:val="00DA2E86"/>
    <w:rsid w:val="00DA39E7"/>
    <w:rsid w:val="00DB042F"/>
    <w:rsid w:val="00DB10A7"/>
    <w:rsid w:val="00DB2A67"/>
    <w:rsid w:val="00DB33B2"/>
    <w:rsid w:val="00DB36AE"/>
    <w:rsid w:val="00DB3FD5"/>
    <w:rsid w:val="00DB52E3"/>
    <w:rsid w:val="00DB6C43"/>
    <w:rsid w:val="00DC2B2D"/>
    <w:rsid w:val="00DC494B"/>
    <w:rsid w:val="00DD0DFA"/>
    <w:rsid w:val="00DE68CB"/>
    <w:rsid w:val="00DF1738"/>
    <w:rsid w:val="00E000AD"/>
    <w:rsid w:val="00E07B89"/>
    <w:rsid w:val="00E07E99"/>
    <w:rsid w:val="00E151B0"/>
    <w:rsid w:val="00E15B61"/>
    <w:rsid w:val="00E23CAB"/>
    <w:rsid w:val="00E27F22"/>
    <w:rsid w:val="00E32EE0"/>
    <w:rsid w:val="00E3717F"/>
    <w:rsid w:val="00E41D22"/>
    <w:rsid w:val="00E42421"/>
    <w:rsid w:val="00E43013"/>
    <w:rsid w:val="00E54B1A"/>
    <w:rsid w:val="00E713CE"/>
    <w:rsid w:val="00E71420"/>
    <w:rsid w:val="00E71D3C"/>
    <w:rsid w:val="00E8280D"/>
    <w:rsid w:val="00E87BC9"/>
    <w:rsid w:val="00E9210E"/>
    <w:rsid w:val="00E95C0A"/>
    <w:rsid w:val="00E96A30"/>
    <w:rsid w:val="00EB50A3"/>
    <w:rsid w:val="00EB53B4"/>
    <w:rsid w:val="00EB53C8"/>
    <w:rsid w:val="00EC4A30"/>
    <w:rsid w:val="00EC4FEE"/>
    <w:rsid w:val="00EC6AA7"/>
    <w:rsid w:val="00EC76C1"/>
    <w:rsid w:val="00EC78DF"/>
    <w:rsid w:val="00ED49E1"/>
    <w:rsid w:val="00ED6DD3"/>
    <w:rsid w:val="00EE4C2E"/>
    <w:rsid w:val="00EF2164"/>
    <w:rsid w:val="00EF44B3"/>
    <w:rsid w:val="00EF4F52"/>
    <w:rsid w:val="00EF57BF"/>
    <w:rsid w:val="00F015E2"/>
    <w:rsid w:val="00F05C88"/>
    <w:rsid w:val="00F06E8D"/>
    <w:rsid w:val="00F07805"/>
    <w:rsid w:val="00F07A8C"/>
    <w:rsid w:val="00F117C7"/>
    <w:rsid w:val="00F14B14"/>
    <w:rsid w:val="00F32F6B"/>
    <w:rsid w:val="00F4128B"/>
    <w:rsid w:val="00F45EEA"/>
    <w:rsid w:val="00F46B73"/>
    <w:rsid w:val="00F478F9"/>
    <w:rsid w:val="00F47C02"/>
    <w:rsid w:val="00F50DA3"/>
    <w:rsid w:val="00F51C86"/>
    <w:rsid w:val="00F659E2"/>
    <w:rsid w:val="00F70A48"/>
    <w:rsid w:val="00F71456"/>
    <w:rsid w:val="00F77BA8"/>
    <w:rsid w:val="00F90C80"/>
    <w:rsid w:val="00F97C57"/>
    <w:rsid w:val="00FA699E"/>
    <w:rsid w:val="00FB0942"/>
    <w:rsid w:val="00FB0C13"/>
    <w:rsid w:val="00FC2DE7"/>
    <w:rsid w:val="00FC2EA7"/>
    <w:rsid w:val="00FC5DC7"/>
    <w:rsid w:val="00FD109A"/>
    <w:rsid w:val="00FD2D02"/>
    <w:rsid w:val="00FD5324"/>
    <w:rsid w:val="00FD62A0"/>
    <w:rsid w:val="00FD6F8B"/>
    <w:rsid w:val="00FD7F70"/>
    <w:rsid w:val="00FE3E87"/>
    <w:rsid w:val="00FF14C5"/>
    <w:rsid w:val="00FF3D91"/>
    <w:rsid w:val="00FF77B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footnote text"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1121B3"/>
    <w:rPr>
      <w:sz w:val="24"/>
      <w:szCs w:val="24"/>
    </w:rPr>
  </w:style>
  <w:style w:type="paragraph" w:styleId="Ttulo1">
    <w:name w:val="heading 1"/>
    <w:basedOn w:val="Normal"/>
    <w:next w:val="Normal"/>
    <w:link w:val="Ttulo1Char"/>
    <w:qFormat/>
    <w:rsid w:val="0080691F"/>
    <w:pPr>
      <w:keepNext/>
      <w:spacing w:before="240" w:after="60"/>
      <w:outlineLvl w:val="0"/>
    </w:pPr>
    <w:rPr>
      <w:rFonts w:ascii="Cambria" w:hAnsi="Cambria"/>
      <w:b/>
      <w:bCs/>
      <w:kern w:val="32"/>
      <w:sz w:val="32"/>
      <w:szCs w:val="32"/>
    </w:rPr>
  </w:style>
  <w:style w:type="paragraph" w:styleId="Ttulo2">
    <w:name w:val="heading 2"/>
    <w:basedOn w:val="Normal"/>
    <w:qFormat/>
    <w:rsid w:val="001121B3"/>
    <w:pPr>
      <w:spacing w:before="100" w:beforeAutospacing="1" w:after="100" w:afterAutospacing="1"/>
      <w:outlineLvl w:val="1"/>
    </w:pPr>
    <w:rPr>
      <w:b/>
      <w:bCs/>
      <w:sz w:val="36"/>
      <w:szCs w:val="36"/>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character" w:customStyle="1" w:styleId="hl">
    <w:name w:val="hl"/>
    <w:basedOn w:val="Fontepargpadro"/>
    <w:rsid w:val="001121B3"/>
  </w:style>
  <w:style w:type="paragraph" w:styleId="NormalWeb">
    <w:name w:val="Normal (Web)"/>
    <w:basedOn w:val="Normal"/>
    <w:uiPriority w:val="99"/>
    <w:unhideWhenUsed/>
    <w:rsid w:val="001121B3"/>
    <w:pPr>
      <w:spacing w:before="100" w:beforeAutospacing="1" w:after="100" w:afterAutospacing="1"/>
    </w:pPr>
  </w:style>
  <w:style w:type="paragraph" w:styleId="Textodenotaderodap">
    <w:name w:val="footnote text"/>
    <w:basedOn w:val="Normal"/>
    <w:link w:val="TextodenotaderodapChar"/>
    <w:uiPriority w:val="99"/>
    <w:rsid w:val="001121B3"/>
    <w:rPr>
      <w:sz w:val="20"/>
      <w:szCs w:val="20"/>
    </w:rPr>
  </w:style>
  <w:style w:type="character" w:customStyle="1" w:styleId="TextodenotaderodapChar">
    <w:name w:val="Texto de nota de rodapé Char"/>
    <w:basedOn w:val="Fontepargpadro"/>
    <w:link w:val="Textodenotaderodap"/>
    <w:uiPriority w:val="99"/>
    <w:rsid w:val="001121B3"/>
    <w:rPr>
      <w:lang w:val="pt-BR" w:eastAsia="pt-BR" w:bidi="ar-SA"/>
    </w:rPr>
  </w:style>
  <w:style w:type="character" w:styleId="Refdenotaderodap">
    <w:name w:val="footnote reference"/>
    <w:basedOn w:val="Fontepargpadro"/>
    <w:rsid w:val="001121B3"/>
    <w:rPr>
      <w:vertAlign w:val="superscript"/>
    </w:rPr>
  </w:style>
  <w:style w:type="character" w:styleId="Hyperlink">
    <w:name w:val="Hyperlink"/>
    <w:basedOn w:val="Fontepargpadro"/>
    <w:uiPriority w:val="99"/>
    <w:rsid w:val="001121B3"/>
    <w:rPr>
      <w:color w:val="0000FF"/>
      <w:u w:val="single"/>
    </w:rPr>
  </w:style>
  <w:style w:type="character" w:styleId="nfase">
    <w:name w:val="Emphasis"/>
    <w:basedOn w:val="Fontepargpadro"/>
    <w:qFormat/>
    <w:rsid w:val="001121B3"/>
    <w:rPr>
      <w:i/>
      <w:iCs/>
    </w:rPr>
  </w:style>
  <w:style w:type="character" w:styleId="HiperlinkVisitado">
    <w:name w:val="FollowedHyperlink"/>
    <w:basedOn w:val="Fontepargpadro"/>
    <w:rsid w:val="009D59A7"/>
    <w:rPr>
      <w:color w:val="800080"/>
      <w:u w:val="single"/>
    </w:rPr>
  </w:style>
  <w:style w:type="paragraph" w:customStyle="1" w:styleId="Recuodecorpodetexto31">
    <w:name w:val="Recuo de corpo de texto 31"/>
    <w:basedOn w:val="Normal"/>
    <w:rsid w:val="004D4298"/>
    <w:pPr>
      <w:suppressAutoHyphens/>
      <w:autoSpaceDE w:val="0"/>
      <w:ind w:firstLine="708"/>
      <w:jc w:val="both"/>
    </w:pPr>
    <w:rPr>
      <w:rFonts w:ascii="ArialMT" w:hAnsi="ArialMT"/>
      <w:color w:val="3366FF"/>
      <w:lang w:eastAsia="ar-SA"/>
    </w:rPr>
  </w:style>
  <w:style w:type="character" w:customStyle="1" w:styleId="Ttulo1Char">
    <w:name w:val="Título 1 Char"/>
    <w:basedOn w:val="Fontepargpadro"/>
    <w:link w:val="Ttulo1"/>
    <w:rsid w:val="0080691F"/>
    <w:rPr>
      <w:rFonts w:ascii="Cambria" w:eastAsia="Times New Roman" w:hAnsi="Cambria" w:cs="Times New Roman"/>
      <w:b/>
      <w:bCs/>
      <w:kern w:val="32"/>
      <w:sz w:val="32"/>
      <w:szCs w:val="32"/>
    </w:rPr>
  </w:style>
  <w:style w:type="paragraph" w:styleId="Corpodetexto2">
    <w:name w:val="Body Text 2"/>
    <w:basedOn w:val="Normal"/>
    <w:link w:val="Corpodetexto2Char"/>
    <w:rsid w:val="0080691F"/>
    <w:pPr>
      <w:spacing w:after="120" w:line="480" w:lineRule="auto"/>
    </w:pPr>
    <w:rPr>
      <w:lang w:val="en-US" w:eastAsia="en-US"/>
    </w:rPr>
  </w:style>
  <w:style w:type="character" w:customStyle="1" w:styleId="Corpodetexto2Char">
    <w:name w:val="Corpo de texto 2 Char"/>
    <w:basedOn w:val="Fontepargpadro"/>
    <w:link w:val="Corpodetexto2"/>
    <w:rsid w:val="0080691F"/>
    <w:rPr>
      <w:sz w:val="24"/>
      <w:szCs w:val="24"/>
      <w:lang w:val="en-US" w:eastAsia="en-US"/>
    </w:rPr>
  </w:style>
  <w:style w:type="table" w:styleId="Tabelacomgrade">
    <w:name w:val="Table Grid"/>
    <w:basedOn w:val="Tabelanormal"/>
    <w:uiPriority w:val="99"/>
    <w:rsid w:val="00FE3E8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estilodeemail17">
    <w:name w:val="EstiloDeEmail28"/>
    <w:aliases w:val="EstiloDeEmail28"/>
    <w:basedOn w:val="Fontepargpadro"/>
    <w:semiHidden/>
    <w:personal/>
    <w:personalCompose/>
    <w:rsid w:val="004111DB"/>
    <w:rPr>
      <w:rFonts w:ascii="Segoe UI" w:hAnsi="Segoe UI" w:cs="Segoe UI" w:hint="default"/>
      <w:b w:val="0"/>
      <w:bCs w:val="0"/>
      <w:i w:val="0"/>
      <w:iCs w:val="0"/>
      <w:strike w:val="0"/>
      <w:dstrike w:val="0"/>
      <w:color w:val="008080"/>
      <w:sz w:val="24"/>
      <w:szCs w:val="24"/>
      <w:u w:val="none"/>
      <w:effect w:val="none"/>
    </w:rPr>
  </w:style>
  <w:style w:type="paragraph" w:styleId="Cabealho">
    <w:name w:val="header"/>
    <w:basedOn w:val="Normal"/>
    <w:link w:val="CabealhoChar"/>
    <w:rsid w:val="00D87631"/>
    <w:pPr>
      <w:tabs>
        <w:tab w:val="center" w:pos="4252"/>
        <w:tab w:val="right" w:pos="8504"/>
      </w:tabs>
    </w:pPr>
  </w:style>
  <w:style w:type="character" w:customStyle="1" w:styleId="CabealhoChar">
    <w:name w:val="Cabeçalho Char"/>
    <w:basedOn w:val="Fontepargpadro"/>
    <w:link w:val="Cabealho"/>
    <w:rsid w:val="00D87631"/>
    <w:rPr>
      <w:sz w:val="24"/>
      <w:szCs w:val="24"/>
    </w:rPr>
  </w:style>
  <w:style w:type="paragraph" w:styleId="Rodap">
    <w:name w:val="footer"/>
    <w:basedOn w:val="Normal"/>
    <w:link w:val="RodapChar"/>
    <w:uiPriority w:val="99"/>
    <w:rsid w:val="00D87631"/>
    <w:pPr>
      <w:tabs>
        <w:tab w:val="center" w:pos="4252"/>
        <w:tab w:val="right" w:pos="8504"/>
      </w:tabs>
    </w:pPr>
  </w:style>
  <w:style w:type="character" w:customStyle="1" w:styleId="RodapChar">
    <w:name w:val="Rodapé Char"/>
    <w:basedOn w:val="Fontepargpadro"/>
    <w:link w:val="Rodap"/>
    <w:uiPriority w:val="99"/>
    <w:rsid w:val="00D87631"/>
    <w:rPr>
      <w:sz w:val="24"/>
      <w:szCs w:val="24"/>
    </w:rPr>
  </w:style>
  <w:style w:type="paragraph" w:styleId="CabealhodoSumrio">
    <w:name w:val="TOC Heading"/>
    <w:basedOn w:val="Ttulo1"/>
    <w:next w:val="Normal"/>
    <w:uiPriority w:val="39"/>
    <w:qFormat/>
    <w:rsid w:val="00261FA6"/>
    <w:pPr>
      <w:keepLines/>
      <w:spacing w:before="480" w:after="0" w:line="276" w:lineRule="auto"/>
      <w:outlineLvl w:val="9"/>
    </w:pPr>
    <w:rPr>
      <w:color w:val="365F91"/>
      <w:kern w:val="0"/>
      <w:sz w:val="28"/>
      <w:szCs w:val="28"/>
      <w:lang w:eastAsia="en-US"/>
    </w:rPr>
  </w:style>
  <w:style w:type="paragraph" w:styleId="Sumrio1">
    <w:name w:val="toc 1"/>
    <w:basedOn w:val="Normal"/>
    <w:next w:val="Normal"/>
    <w:autoRedefine/>
    <w:uiPriority w:val="39"/>
    <w:rsid w:val="00261FA6"/>
  </w:style>
  <w:style w:type="paragraph" w:styleId="Sumrio2">
    <w:name w:val="toc 2"/>
    <w:basedOn w:val="Normal"/>
    <w:next w:val="Normal"/>
    <w:autoRedefine/>
    <w:uiPriority w:val="39"/>
    <w:rsid w:val="00261FA6"/>
    <w:pPr>
      <w:ind w:left="240"/>
    </w:pPr>
  </w:style>
  <w:style w:type="character" w:styleId="Nmerodepgina">
    <w:name w:val="page number"/>
    <w:basedOn w:val="Fontepargpadro"/>
    <w:rsid w:val="00DC2B2D"/>
  </w:style>
  <w:style w:type="character" w:styleId="Forte">
    <w:name w:val="Strong"/>
    <w:basedOn w:val="Fontepargpadro"/>
    <w:qFormat/>
    <w:rsid w:val="00727228"/>
    <w:rPr>
      <w:b/>
      <w:bCs/>
    </w:rPr>
  </w:style>
  <w:style w:type="paragraph" w:styleId="Textodebalo">
    <w:name w:val="Balloon Text"/>
    <w:basedOn w:val="Normal"/>
    <w:link w:val="TextodebaloChar"/>
    <w:rsid w:val="00765105"/>
    <w:rPr>
      <w:rFonts w:ascii="Tahoma" w:hAnsi="Tahoma" w:cs="Tahoma"/>
      <w:sz w:val="16"/>
      <w:szCs w:val="16"/>
    </w:rPr>
  </w:style>
  <w:style w:type="character" w:customStyle="1" w:styleId="TextodebaloChar">
    <w:name w:val="Texto de balão Char"/>
    <w:basedOn w:val="Fontepargpadro"/>
    <w:link w:val="Textodebalo"/>
    <w:rsid w:val="0076510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4565252">
      <w:bodyDiv w:val="1"/>
      <w:marLeft w:val="0"/>
      <w:marRight w:val="0"/>
      <w:marTop w:val="0"/>
      <w:marBottom w:val="0"/>
      <w:divBdr>
        <w:top w:val="none" w:sz="0" w:space="0" w:color="auto"/>
        <w:left w:val="none" w:sz="0" w:space="0" w:color="auto"/>
        <w:bottom w:val="none" w:sz="0" w:space="0" w:color="auto"/>
        <w:right w:val="none" w:sz="0" w:space="0" w:color="auto"/>
      </w:divBdr>
    </w:div>
    <w:div w:id="169493102">
      <w:bodyDiv w:val="1"/>
      <w:marLeft w:val="0"/>
      <w:marRight w:val="0"/>
      <w:marTop w:val="0"/>
      <w:marBottom w:val="0"/>
      <w:divBdr>
        <w:top w:val="none" w:sz="0" w:space="0" w:color="auto"/>
        <w:left w:val="none" w:sz="0" w:space="0" w:color="auto"/>
        <w:bottom w:val="none" w:sz="0" w:space="0" w:color="auto"/>
        <w:right w:val="none" w:sz="0" w:space="0" w:color="auto"/>
      </w:divBdr>
    </w:div>
    <w:div w:id="216471833">
      <w:bodyDiv w:val="1"/>
      <w:marLeft w:val="0"/>
      <w:marRight w:val="0"/>
      <w:marTop w:val="0"/>
      <w:marBottom w:val="0"/>
      <w:divBdr>
        <w:top w:val="none" w:sz="0" w:space="0" w:color="auto"/>
        <w:left w:val="none" w:sz="0" w:space="0" w:color="auto"/>
        <w:bottom w:val="none" w:sz="0" w:space="0" w:color="auto"/>
        <w:right w:val="none" w:sz="0" w:space="0" w:color="auto"/>
      </w:divBdr>
      <w:divsChild>
        <w:div w:id="624386362">
          <w:marLeft w:val="0"/>
          <w:marRight w:val="0"/>
          <w:marTop w:val="0"/>
          <w:marBottom w:val="0"/>
          <w:divBdr>
            <w:top w:val="none" w:sz="0" w:space="0" w:color="auto"/>
            <w:left w:val="none" w:sz="0" w:space="0" w:color="auto"/>
            <w:bottom w:val="none" w:sz="0" w:space="0" w:color="auto"/>
            <w:right w:val="none" w:sz="0" w:space="0" w:color="auto"/>
          </w:divBdr>
          <w:divsChild>
            <w:div w:id="2032217459">
              <w:marLeft w:val="0"/>
              <w:marRight w:val="0"/>
              <w:marTop w:val="0"/>
              <w:marBottom w:val="0"/>
              <w:divBdr>
                <w:top w:val="none" w:sz="0" w:space="0" w:color="auto"/>
                <w:left w:val="none" w:sz="0" w:space="0" w:color="auto"/>
                <w:bottom w:val="none" w:sz="0" w:space="0" w:color="auto"/>
                <w:right w:val="none" w:sz="0" w:space="0" w:color="auto"/>
              </w:divBdr>
              <w:divsChild>
                <w:div w:id="444542051">
                  <w:marLeft w:val="0"/>
                  <w:marRight w:val="0"/>
                  <w:marTop w:val="0"/>
                  <w:marBottom w:val="0"/>
                  <w:divBdr>
                    <w:top w:val="none" w:sz="0" w:space="0" w:color="auto"/>
                    <w:left w:val="none" w:sz="0" w:space="0" w:color="auto"/>
                    <w:bottom w:val="none" w:sz="0" w:space="0" w:color="auto"/>
                    <w:right w:val="none" w:sz="0" w:space="0" w:color="auto"/>
                  </w:divBdr>
                  <w:divsChild>
                    <w:div w:id="615143868">
                      <w:marLeft w:val="0"/>
                      <w:marRight w:val="0"/>
                      <w:marTop w:val="0"/>
                      <w:marBottom w:val="0"/>
                      <w:divBdr>
                        <w:top w:val="none" w:sz="0" w:space="0" w:color="auto"/>
                        <w:left w:val="none" w:sz="0" w:space="0" w:color="auto"/>
                        <w:bottom w:val="none" w:sz="0" w:space="0" w:color="auto"/>
                        <w:right w:val="none" w:sz="0" w:space="0" w:color="auto"/>
                      </w:divBdr>
                      <w:divsChild>
                        <w:div w:id="250621719">
                          <w:marLeft w:val="0"/>
                          <w:marRight w:val="0"/>
                          <w:marTop w:val="0"/>
                          <w:marBottom w:val="0"/>
                          <w:divBdr>
                            <w:top w:val="none" w:sz="0" w:space="0" w:color="auto"/>
                            <w:left w:val="none" w:sz="0" w:space="0" w:color="auto"/>
                            <w:bottom w:val="none" w:sz="0" w:space="0" w:color="auto"/>
                            <w:right w:val="none" w:sz="0" w:space="0" w:color="auto"/>
                          </w:divBdr>
                          <w:divsChild>
                            <w:div w:id="1256086605">
                              <w:marLeft w:val="0"/>
                              <w:marRight w:val="0"/>
                              <w:marTop w:val="0"/>
                              <w:marBottom w:val="0"/>
                              <w:divBdr>
                                <w:top w:val="none" w:sz="0" w:space="0" w:color="auto"/>
                                <w:left w:val="none" w:sz="0" w:space="0" w:color="auto"/>
                                <w:bottom w:val="none" w:sz="0" w:space="0" w:color="auto"/>
                                <w:right w:val="none" w:sz="0" w:space="0" w:color="auto"/>
                              </w:divBdr>
                              <w:divsChild>
                                <w:div w:id="1994748407">
                                  <w:marLeft w:val="0"/>
                                  <w:marRight w:val="0"/>
                                  <w:marTop w:val="0"/>
                                  <w:marBottom w:val="0"/>
                                  <w:divBdr>
                                    <w:top w:val="none" w:sz="0" w:space="0" w:color="auto"/>
                                    <w:left w:val="none" w:sz="0" w:space="0" w:color="auto"/>
                                    <w:bottom w:val="none" w:sz="0" w:space="0" w:color="auto"/>
                                    <w:right w:val="none" w:sz="0" w:space="0" w:color="auto"/>
                                  </w:divBdr>
                                  <w:divsChild>
                                    <w:div w:id="231426533">
                                      <w:marLeft w:val="0"/>
                                      <w:marRight w:val="0"/>
                                      <w:marTop w:val="0"/>
                                      <w:marBottom w:val="0"/>
                                      <w:divBdr>
                                        <w:top w:val="none" w:sz="0" w:space="0" w:color="auto"/>
                                        <w:left w:val="none" w:sz="0" w:space="0" w:color="auto"/>
                                        <w:bottom w:val="none" w:sz="0" w:space="0" w:color="auto"/>
                                        <w:right w:val="none" w:sz="0" w:space="0" w:color="auto"/>
                                      </w:divBdr>
                                      <w:divsChild>
                                        <w:div w:id="1594625259">
                                          <w:marLeft w:val="0"/>
                                          <w:marRight w:val="0"/>
                                          <w:marTop w:val="0"/>
                                          <w:marBottom w:val="0"/>
                                          <w:divBdr>
                                            <w:top w:val="none" w:sz="0" w:space="0" w:color="auto"/>
                                            <w:left w:val="none" w:sz="0" w:space="0" w:color="auto"/>
                                            <w:bottom w:val="none" w:sz="0" w:space="0" w:color="auto"/>
                                            <w:right w:val="none" w:sz="0" w:space="0" w:color="auto"/>
                                          </w:divBdr>
                                          <w:divsChild>
                                            <w:div w:id="426729878">
                                              <w:marLeft w:val="0"/>
                                              <w:marRight w:val="0"/>
                                              <w:marTop w:val="0"/>
                                              <w:marBottom w:val="0"/>
                                              <w:divBdr>
                                                <w:top w:val="none" w:sz="0" w:space="0" w:color="auto"/>
                                                <w:left w:val="none" w:sz="0" w:space="0" w:color="auto"/>
                                                <w:bottom w:val="none" w:sz="0" w:space="0" w:color="auto"/>
                                                <w:right w:val="none" w:sz="0" w:space="0" w:color="auto"/>
                                              </w:divBdr>
                                              <w:divsChild>
                                                <w:div w:id="1347753542">
                                                  <w:marLeft w:val="0"/>
                                                  <w:marRight w:val="0"/>
                                                  <w:marTop w:val="0"/>
                                                  <w:marBottom w:val="0"/>
                                                  <w:divBdr>
                                                    <w:top w:val="none" w:sz="0" w:space="0" w:color="auto"/>
                                                    <w:left w:val="none" w:sz="0" w:space="0" w:color="auto"/>
                                                    <w:bottom w:val="none" w:sz="0" w:space="0" w:color="auto"/>
                                                    <w:right w:val="none" w:sz="0" w:space="0" w:color="auto"/>
                                                  </w:divBdr>
                                                  <w:divsChild>
                                                    <w:div w:id="1813063868">
                                                      <w:marLeft w:val="0"/>
                                                      <w:marRight w:val="90"/>
                                                      <w:marTop w:val="0"/>
                                                      <w:marBottom w:val="0"/>
                                                      <w:divBdr>
                                                        <w:top w:val="none" w:sz="0" w:space="0" w:color="auto"/>
                                                        <w:left w:val="none" w:sz="0" w:space="0" w:color="auto"/>
                                                        <w:bottom w:val="none" w:sz="0" w:space="0" w:color="auto"/>
                                                        <w:right w:val="none" w:sz="0" w:space="0" w:color="auto"/>
                                                      </w:divBdr>
                                                      <w:divsChild>
                                                        <w:div w:id="2087416693">
                                                          <w:marLeft w:val="0"/>
                                                          <w:marRight w:val="0"/>
                                                          <w:marTop w:val="0"/>
                                                          <w:marBottom w:val="0"/>
                                                          <w:divBdr>
                                                            <w:top w:val="none" w:sz="0" w:space="0" w:color="auto"/>
                                                            <w:left w:val="none" w:sz="0" w:space="0" w:color="auto"/>
                                                            <w:bottom w:val="none" w:sz="0" w:space="0" w:color="auto"/>
                                                            <w:right w:val="none" w:sz="0" w:space="0" w:color="auto"/>
                                                          </w:divBdr>
                                                          <w:divsChild>
                                                            <w:div w:id="1250458743">
                                                              <w:marLeft w:val="0"/>
                                                              <w:marRight w:val="0"/>
                                                              <w:marTop w:val="0"/>
                                                              <w:marBottom w:val="0"/>
                                                              <w:divBdr>
                                                                <w:top w:val="none" w:sz="0" w:space="0" w:color="auto"/>
                                                                <w:left w:val="none" w:sz="0" w:space="0" w:color="auto"/>
                                                                <w:bottom w:val="none" w:sz="0" w:space="0" w:color="auto"/>
                                                                <w:right w:val="none" w:sz="0" w:space="0" w:color="auto"/>
                                                              </w:divBdr>
                                                              <w:divsChild>
                                                                <w:div w:id="247153103">
                                                                  <w:marLeft w:val="0"/>
                                                                  <w:marRight w:val="0"/>
                                                                  <w:marTop w:val="0"/>
                                                                  <w:marBottom w:val="0"/>
                                                                  <w:divBdr>
                                                                    <w:top w:val="none" w:sz="0" w:space="0" w:color="auto"/>
                                                                    <w:left w:val="none" w:sz="0" w:space="0" w:color="auto"/>
                                                                    <w:bottom w:val="none" w:sz="0" w:space="0" w:color="auto"/>
                                                                    <w:right w:val="none" w:sz="0" w:space="0" w:color="auto"/>
                                                                  </w:divBdr>
                                                                  <w:divsChild>
                                                                    <w:div w:id="1721397803">
                                                                      <w:marLeft w:val="0"/>
                                                                      <w:marRight w:val="0"/>
                                                                      <w:marTop w:val="0"/>
                                                                      <w:marBottom w:val="0"/>
                                                                      <w:divBdr>
                                                                        <w:top w:val="none" w:sz="0" w:space="0" w:color="auto"/>
                                                                        <w:left w:val="none" w:sz="0" w:space="0" w:color="auto"/>
                                                                        <w:bottom w:val="none" w:sz="0" w:space="0" w:color="auto"/>
                                                                        <w:right w:val="none" w:sz="0" w:space="0" w:color="auto"/>
                                                                      </w:divBdr>
                                                                      <w:divsChild>
                                                                        <w:div w:id="1081760930">
                                                                          <w:marLeft w:val="0"/>
                                                                          <w:marRight w:val="0"/>
                                                                          <w:marTop w:val="0"/>
                                                                          <w:marBottom w:val="0"/>
                                                                          <w:divBdr>
                                                                            <w:top w:val="none" w:sz="0" w:space="0" w:color="auto"/>
                                                                            <w:left w:val="none" w:sz="0" w:space="0" w:color="auto"/>
                                                                            <w:bottom w:val="none" w:sz="0" w:space="0" w:color="auto"/>
                                                                            <w:right w:val="none" w:sz="0" w:space="0" w:color="auto"/>
                                                                          </w:divBdr>
                                                                          <w:divsChild>
                                                                            <w:div w:id="1307973178">
                                                                              <w:marLeft w:val="0"/>
                                                                              <w:marRight w:val="0"/>
                                                                              <w:marTop w:val="0"/>
                                                                              <w:marBottom w:val="0"/>
                                                                              <w:divBdr>
                                                                                <w:top w:val="none" w:sz="0" w:space="0" w:color="auto"/>
                                                                                <w:left w:val="none" w:sz="0" w:space="0" w:color="auto"/>
                                                                                <w:bottom w:val="none" w:sz="0" w:space="0" w:color="auto"/>
                                                                                <w:right w:val="none" w:sz="0" w:space="0" w:color="auto"/>
                                                                              </w:divBdr>
                                                                              <w:divsChild>
                                                                                <w:div w:id="438984966">
                                                                                  <w:marLeft w:val="0"/>
                                                                                  <w:marRight w:val="0"/>
                                                                                  <w:marTop w:val="0"/>
                                                                                  <w:marBottom w:val="0"/>
                                                                                  <w:divBdr>
                                                                                    <w:top w:val="none" w:sz="0" w:space="0" w:color="auto"/>
                                                                                    <w:left w:val="none" w:sz="0" w:space="0" w:color="auto"/>
                                                                                    <w:bottom w:val="none" w:sz="0" w:space="0" w:color="auto"/>
                                                                                    <w:right w:val="none" w:sz="0" w:space="0" w:color="auto"/>
                                                                                  </w:divBdr>
                                                                                  <w:divsChild>
                                                                                    <w:div w:id="520554801">
                                                                                      <w:marLeft w:val="180"/>
                                                                                      <w:marRight w:val="180"/>
                                                                                      <w:marTop w:val="0"/>
                                                                                      <w:marBottom w:val="0"/>
                                                                                      <w:divBdr>
                                                                                        <w:top w:val="none" w:sz="0" w:space="0" w:color="auto"/>
                                                                                        <w:left w:val="none" w:sz="0" w:space="0" w:color="auto"/>
                                                                                        <w:bottom w:val="none" w:sz="0" w:space="0" w:color="auto"/>
                                                                                        <w:right w:val="none" w:sz="0" w:space="0" w:color="auto"/>
                                                                                      </w:divBdr>
                                                                                      <w:divsChild>
                                                                                        <w:div w:id="136960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4605286">
      <w:bodyDiv w:val="1"/>
      <w:marLeft w:val="0"/>
      <w:marRight w:val="0"/>
      <w:marTop w:val="0"/>
      <w:marBottom w:val="0"/>
      <w:divBdr>
        <w:top w:val="none" w:sz="0" w:space="0" w:color="auto"/>
        <w:left w:val="none" w:sz="0" w:space="0" w:color="auto"/>
        <w:bottom w:val="none" w:sz="0" w:space="0" w:color="auto"/>
        <w:right w:val="none" w:sz="0" w:space="0" w:color="auto"/>
      </w:divBdr>
    </w:div>
    <w:div w:id="393313700">
      <w:bodyDiv w:val="1"/>
      <w:marLeft w:val="0"/>
      <w:marRight w:val="0"/>
      <w:marTop w:val="0"/>
      <w:marBottom w:val="0"/>
      <w:divBdr>
        <w:top w:val="none" w:sz="0" w:space="0" w:color="auto"/>
        <w:left w:val="none" w:sz="0" w:space="0" w:color="auto"/>
        <w:bottom w:val="none" w:sz="0" w:space="0" w:color="auto"/>
        <w:right w:val="none" w:sz="0" w:space="0" w:color="auto"/>
      </w:divBdr>
    </w:div>
    <w:div w:id="511264369">
      <w:bodyDiv w:val="1"/>
      <w:marLeft w:val="0"/>
      <w:marRight w:val="0"/>
      <w:marTop w:val="0"/>
      <w:marBottom w:val="0"/>
      <w:divBdr>
        <w:top w:val="none" w:sz="0" w:space="0" w:color="auto"/>
        <w:left w:val="none" w:sz="0" w:space="0" w:color="auto"/>
        <w:bottom w:val="none" w:sz="0" w:space="0" w:color="auto"/>
        <w:right w:val="none" w:sz="0" w:space="0" w:color="auto"/>
      </w:divBdr>
    </w:div>
    <w:div w:id="678191111">
      <w:bodyDiv w:val="1"/>
      <w:marLeft w:val="0"/>
      <w:marRight w:val="0"/>
      <w:marTop w:val="0"/>
      <w:marBottom w:val="0"/>
      <w:divBdr>
        <w:top w:val="none" w:sz="0" w:space="0" w:color="auto"/>
        <w:left w:val="none" w:sz="0" w:space="0" w:color="auto"/>
        <w:bottom w:val="none" w:sz="0" w:space="0" w:color="auto"/>
        <w:right w:val="none" w:sz="0" w:space="0" w:color="auto"/>
      </w:divBdr>
    </w:div>
    <w:div w:id="730689931">
      <w:bodyDiv w:val="1"/>
      <w:marLeft w:val="0"/>
      <w:marRight w:val="0"/>
      <w:marTop w:val="0"/>
      <w:marBottom w:val="0"/>
      <w:divBdr>
        <w:top w:val="none" w:sz="0" w:space="0" w:color="auto"/>
        <w:left w:val="none" w:sz="0" w:space="0" w:color="auto"/>
        <w:bottom w:val="none" w:sz="0" w:space="0" w:color="auto"/>
        <w:right w:val="none" w:sz="0" w:space="0" w:color="auto"/>
      </w:divBdr>
    </w:div>
    <w:div w:id="1314985971">
      <w:bodyDiv w:val="1"/>
      <w:marLeft w:val="0"/>
      <w:marRight w:val="0"/>
      <w:marTop w:val="0"/>
      <w:marBottom w:val="0"/>
      <w:divBdr>
        <w:top w:val="none" w:sz="0" w:space="0" w:color="auto"/>
        <w:left w:val="none" w:sz="0" w:space="0" w:color="auto"/>
        <w:bottom w:val="none" w:sz="0" w:space="0" w:color="auto"/>
        <w:right w:val="none" w:sz="0" w:space="0" w:color="auto"/>
      </w:divBdr>
    </w:div>
    <w:div w:id="1335644712">
      <w:bodyDiv w:val="1"/>
      <w:marLeft w:val="0"/>
      <w:marRight w:val="0"/>
      <w:marTop w:val="0"/>
      <w:marBottom w:val="0"/>
      <w:divBdr>
        <w:top w:val="none" w:sz="0" w:space="0" w:color="auto"/>
        <w:left w:val="none" w:sz="0" w:space="0" w:color="auto"/>
        <w:bottom w:val="none" w:sz="0" w:space="0" w:color="auto"/>
        <w:right w:val="none" w:sz="0" w:space="0" w:color="auto"/>
      </w:divBdr>
    </w:div>
    <w:div w:id="1348212383">
      <w:bodyDiv w:val="1"/>
      <w:marLeft w:val="0"/>
      <w:marRight w:val="0"/>
      <w:marTop w:val="0"/>
      <w:marBottom w:val="0"/>
      <w:divBdr>
        <w:top w:val="none" w:sz="0" w:space="0" w:color="auto"/>
        <w:left w:val="none" w:sz="0" w:space="0" w:color="auto"/>
        <w:bottom w:val="none" w:sz="0" w:space="0" w:color="auto"/>
        <w:right w:val="none" w:sz="0" w:space="0" w:color="auto"/>
      </w:divBdr>
    </w:div>
    <w:div w:id="1517885840">
      <w:bodyDiv w:val="1"/>
      <w:marLeft w:val="0"/>
      <w:marRight w:val="0"/>
      <w:marTop w:val="0"/>
      <w:marBottom w:val="0"/>
      <w:divBdr>
        <w:top w:val="none" w:sz="0" w:space="0" w:color="auto"/>
        <w:left w:val="none" w:sz="0" w:space="0" w:color="auto"/>
        <w:bottom w:val="none" w:sz="0" w:space="0" w:color="auto"/>
        <w:right w:val="none" w:sz="0" w:space="0" w:color="auto"/>
      </w:divBdr>
    </w:div>
    <w:div w:id="1606616567">
      <w:bodyDiv w:val="1"/>
      <w:marLeft w:val="0"/>
      <w:marRight w:val="0"/>
      <w:marTop w:val="0"/>
      <w:marBottom w:val="0"/>
      <w:divBdr>
        <w:top w:val="none" w:sz="0" w:space="0" w:color="auto"/>
        <w:left w:val="none" w:sz="0" w:space="0" w:color="auto"/>
        <w:bottom w:val="none" w:sz="0" w:space="0" w:color="auto"/>
        <w:right w:val="none" w:sz="0" w:space="0" w:color="auto"/>
      </w:divBdr>
    </w:div>
    <w:div w:id="1726445053">
      <w:bodyDiv w:val="1"/>
      <w:marLeft w:val="0"/>
      <w:marRight w:val="0"/>
      <w:marTop w:val="0"/>
      <w:marBottom w:val="0"/>
      <w:divBdr>
        <w:top w:val="none" w:sz="0" w:space="0" w:color="auto"/>
        <w:left w:val="none" w:sz="0" w:space="0" w:color="auto"/>
        <w:bottom w:val="none" w:sz="0" w:space="0" w:color="auto"/>
        <w:right w:val="none" w:sz="0" w:space="0" w:color="auto"/>
      </w:divBdr>
    </w:div>
    <w:div w:id="1844121323">
      <w:bodyDiv w:val="1"/>
      <w:marLeft w:val="0"/>
      <w:marRight w:val="0"/>
      <w:marTop w:val="0"/>
      <w:marBottom w:val="0"/>
      <w:divBdr>
        <w:top w:val="none" w:sz="0" w:space="0" w:color="auto"/>
        <w:left w:val="none" w:sz="0" w:space="0" w:color="auto"/>
        <w:bottom w:val="none" w:sz="0" w:space="0" w:color="auto"/>
        <w:right w:val="none" w:sz="0" w:space="0" w:color="auto"/>
      </w:divBdr>
    </w:div>
    <w:div w:id="2131432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hyperlink" Target="http://www.planalto.gov.br/ccivil/decreto-lei/del2848.htm" TargetMode="External"/><Relationship Id="rId39" Type="http://schemas.openxmlformats.org/officeDocument/2006/relationships/hyperlink" Target="http://www.senai.br/br/institucional/snai_go.aspx" TargetMode="External"/><Relationship Id="rId3" Type="http://schemas.openxmlformats.org/officeDocument/2006/relationships/styles" Target="styles.xml"/><Relationship Id="rId21" Type="http://schemas.openxmlformats.org/officeDocument/2006/relationships/chart" Target="charts/chart9.xml"/><Relationship Id="rId34" Type="http://schemas.openxmlformats.org/officeDocument/2006/relationships/hyperlink" Target="http://www.pr5.ufrj.br/pedh/documentos/plano_nacional%20Violencia.pdf" TargetMode="External"/><Relationship Id="rId42" Type="http://schemas.openxmlformats.org/officeDocument/2006/relationships/hyperlink" Target="http://www.unicef.org/brazil/pt/UNI13.pdf" TargetMode="External"/><Relationship Id="rId47" Type="http://schemas.openxmlformats.org/officeDocument/2006/relationships/hyperlink" Target="http://www.uniethos.org.br/_Uniethos/Documents/proces_gerenciais_web.pdf" TargetMode="External"/><Relationship Id="rId50" Type="http://schemas.openxmlformats.org/officeDocument/2006/relationships/hyperlink" Target="mailto:imprensa.sesicn@sesi.org.br" TargetMode="Externa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chart" Target="charts/chart5.xml"/><Relationship Id="rId25" Type="http://schemas.openxmlformats.org/officeDocument/2006/relationships/chart" Target="charts/chart13.xml"/><Relationship Id="rId33" Type="http://schemas.openxmlformats.org/officeDocument/2006/relationships/hyperlink" Target="http://www.ibge.gov.br/home/estatistica/populacao/condicaodevida/indicadoresminimos/sinteseindicsociais2007/indic_sociais2007.pdf" TargetMode="External"/><Relationship Id="rId38" Type="http://schemas.openxmlformats.org/officeDocument/2006/relationships/hyperlink" Target="http://www.sesi.org.br/portal/main.jsp?lumChannelId=8A9015D016389BEA01163DF926A605C1" TargetMode="External"/><Relationship Id="rId46" Type="http://schemas.openxmlformats.org/officeDocument/2006/relationships/hyperlink" Target="http://siteresources.worldbank.org/BRAZILINPOREXTN/Resources/3817166-1220388091471/EPBrasil2008.pdf?resourceurlname=EPBrasil2008.pdf" TargetMode="Externa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chart" Target="charts/chart8.xml"/><Relationship Id="rId29" Type="http://schemas.openxmlformats.org/officeDocument/2006/relationships/hyperlink" Target="http://www.planalto.gov.br/ccivil_03/LEIS/L8987cons.htm" TargetMode="External"/><Relationship Id="rId41" Type="http://schemas.openxmlformats.org/officeDocument/2006/relationships/hyperlink" Target="http://www.direitodoestado.com/revista/REDAE-2-MAIO-2005-JOSE%20ALVARENGA.pdf"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chart" Target="charts/chart12.xml"/><Relationship Id="rId32" Type="http://schemas.openxmlformats.org/officeDocument/2006/relationships/hyperlink" Target="http://www.imf.org/external/np/fad/2004/pifp/eng/031204.pdf" TargetMode="External"/><Relationship Id="rId37" Type="http://schemas.openxmlformats.org/officeDocument/2006/relationships/hyperlink" Target="http://www6.senado.gov.br/legislacao/ListaPublicacoes.action?id=191765" TargetMode="External"/><Relationship Id="rId40" Type="http://schemas.openxmlformats.org/officeDocument/2006/relationships/hyperlink" Target="http://www.jurisway.org.br/v2/dhall.asp?id_dh=1233" TargetMode="External"/><Relationship Id="rId45" Type="http://schemas.openxmlformats.org/officeDocument/2006/relationships/hyperlink" Target="http://siteresources.worldbank.org/BRAZILINPOREXTN/Resources/BRAZILCAS2003Port.pdf"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hyperlink" Target="http://www.planalto.gov.br/ccivil_03/_Ato2007-2010/2007/Decreto/D6170.htm" TargetMode="External"/><Relationship Id="rId36" Type="http://schemas.openxmlformats.org/officeDocument/2006/relationships/hyperlink" Target="http://www.turismo.gov.br/turismo/o_ministerio/regimento" TargetMode="External"/><Relationship Id="rId49" Type="http://schemas.openxmlformats.org/officeDocument/2006/relationships/hyperlink" Target="http://www.uni-goettingen.de/en/60864.html" TargetMode="External"/><Relationship Id="rId10" Type="http://schemas.openxmlformats.org/officeDocument/2006/relationships/footer" Target="footer2.xml"/><Relationship Id="rId19" Type="http://schemas.openxmlformats.org/officeDocument/2006/relationships/chart" Target="charts/chart7.xml"/><Relationship Id="rId31" Type="http://schemas.openxmlformats.org/officeDocument/2006/relationships/hyperlink" Target="http://eur-lex.europa.eu/LexUriServ/LexUriServ.do?uri=COM:2004:0327:FIN:PT:PDF" TargetMode="External"/><Relationship Id="rId44" Type="http://schemas.openxmlformats.org/officeDocument/2006/relationships/hyperlink" Target="http://www.bndes.gov.br/SiteBNDES/export/sites/default/bndes_pt/Galerias/Arquivos/conhecimento/revista/rev2305.pdf" TargetMode="External"/><Relationship Id="rId52"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hyperlink" Target="http://www.planalto.gov.br/ccivil_03/Constituicao/Constitui%C3%A7ao.htm" TargetMode="External"/><Relationship Id="rId30" Type="http://schemas.openxmlformats.org/officeDocument/2006/relationships/hyperlink" Target="http://www.planalto.gov.br/ccivil_03/_ato2004-2006/2004/Lei/L11079.htm" TargetMode="External"/><Relationship Id="rId35" Type="http://schemas.openxmlformats.org/officeDocument/2006/relationships/hyperlink" Target="http://www.turismo.gov.br/turismo/o_ministerio/publicacoes/cadernos_publicacoes/10desafios.html" TargetMode="External"/><Relationship Id="rId43" Type="http://schemas.openxmlformats.org/officeDocument/2006/relationships/hyperlink" Target="http://64.233.163.132/search?q=cache:TGjWU9MnDMkJ:www.hottopos.com/vdletras3/vitoria.htm+direitos+sociais+no+brasil&amp;cd=3&amp;hl=pt-BR&amp;ct=clnk&amp;gl=br" TargetMode="External"/><Relationship Id="rId48" Type="http://schemas.openxmlformats.org/officeDocument/2006/relationships/hyperlink" Target="http://unpan1.un.org/intradoc/groups/public/documents/ASPA/UNPAN005912.pdf" TargetMode="External"/><Relationship Id="rId8" Type="http://schemas.openxmlformats.org/officeDocument/2006/relationships/image" Target="media/image1.jpeg"/><Relationship Id="rId51" Type="http://schemas.openxmlformats.org/officeDocument/2006/relationships/hyperlink" Target="mailto:trescunha@yahoo.com.br"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Planilha_do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Planilha_do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Planilha_do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Planilha_do_Microsoft_Office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Planilha_do_Microsoft_Office_Excel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Planilha_do_Microsoft_Office_Excel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Planilha_do_Microsoft_Office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Planilha_do_Microsoft_Office_Excel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Planilha_do_Microsoft_Office_Excel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Planilha_do_Microsoft_Office_Excel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Planilha_do_Microsoft_Office_Excel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Planilha_do_Microsoft_Office_Excel12.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Planilha_do_Microsoft_Office_Excel13.xlsx"/></Relationships>
</file>

<file path=word/charts/chart1.xml><?xml version="1.0" encoding="utf-8"?>
<c:chartSpace xmlns:c="http://schemas.openxmlformats.org/drawingml/2006/chart" xmlns:a="http://schemas.openxmlformats.org/drawingml/2006/main" xmlns:r="http://schemas.openxmlformats.org/officeDocument/2006/relationships">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bar3DChart>
        <c:barDir val="col"/>
        <c:grouping val="clustered"/>
        <c:ser>
          <c:idx val="0"/>
          <c:order val="0"/>
          <c:tx>
            <c:strRef>
              <c:f>Sheet1!$A$2</c:f>
              <c:strCache>
                <c:ptCount val="1"/>
                <c:pt idx="0">
                  <c:v>Sexo Feminino</c:v>
                </c:pt>
              </c:strCache>
            </c:strRef>
          </c:tx>
          <c:spPr>
            <a:solidFill>
              <a:srgbClr val="9999FF"/>
            </a:solidFill>
            <a:ln w="12700">
              <a:solidFill>
                <a:srgbClr val="000000"/>
              </a:solidFill>
              <a:prstDash val="solid"/>
            </a:ln>
          </c:spPr>
          <c:dLbls>
            <c:dLbl>
              <c:idx val="0"/>
              <c:layout>
                <c:manualLayout>
                  <c:x val="0.26849689486634826"/>
                  <c:y val="-5.8275866771095902E-19"/>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Sheet1!$B$2:$E$2</c:f>
              <c:numCache>
                <c:formatCode>General</c:formatCode>
                <c:ptCount val="4"/>
                <c:pt idx="0" formatCode="0%">
                  <c:v>0.76290000000000024</c:v>
                </c:pt>
              </c:numCache>
            </c:numRef>
          </c:val>
        </c:ser>
        <c:ser>
          <c:idx val="1"/>
          <c:order val="1"/>
          <c:tx>
            <c:strRef>
              <c:f>Sheet1!$A$3</c:f>
              <c:strCache>
                <c:ptCount val="1"/>
                <c:pt idx="0">
                  <c:v>Sexo masculino</c:v>
                </c:pt>
              </c:strCache>
            </c:strRef>
          </c:tx>
          <c:spPr>
            <a:solidFill>
              <a:srgbClr val="993366"/>
            </a:solidFill>
            <a:ln w="12700">
              <a:solidFill>
                <a:srgbClr val="000000"/>
              </a:solidFill>
              <a:prstDash val="solid"/>
            </a:ln>
          </c:spPr>
          <c:dLbls>
            <c:dLbl>
              <c:idx val="1"/>
              <c:layout>
                <c:manualLayout>
                  <c:x val="0.16561238030840494"/>
                  <c:y val="-0.16857596930270211"/>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Sheet1!$B$3:$E$3</c:f>
              <c:numCache>
                <c:formatCode>0%</c:formatCode>
                <c:ptCount val="4"/>
                <c:pt idx="1">
                  <c:v>0.17050000000000001</c:v>
                </c:pt>
              </c:numCache>
            </c:numRef>
          </c:val>
        </c:ser>
        <c:ser>
          <c:idx val="2"/>
          <c:order val="2"/>
          <c:tx>
            <c:strRef>
              <c:f>Sheet1!$A$4</c:f>
              <c:strCache>
                <c:ptCount val="1"/>
                <c:pt idx="0">
                  <c:v>Meninas/Meninos</c:v>
                </c:pt>
              </c:strCache>
            </c:strRef>
          </c:tx>
          <c:spPr>
            <a:solidFill>
              <a:srgbClr val="FFFFCC"/>
            </a:solidFill>
            <a:ln w="12700">
              <a:solidFill>
                <a:srgbClr val="000000"/>
              </a:solidFill>
              <a:prstDash val="solid"/>
            </a:ln>
          </c:spPr>
          <c:dLbls>
            <c:dLbl>
              <c:idx val="2"/>
              <c:layout>
                <c:manualLayout>
                  <c:x val="0.14590229635982332"/>
                  <c:y val="-0.16086653890836156"/>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Sheet1!$B$4:$E$4</c:f>
              <c:numCache>
                <c:formatCode>General</c:formatCode>
                <c:ptCount val="4"/>
                <c:pt idx="2" formatCode="0%">
                  <c:v>6.2700000000000033E-2</c:v>
                </c:pt>
              </c:numCache>
            </c:numRef>
          </c:val>
        </c:ser>
        <c:ser>
          <c:idx val="3"/>
          <c:order val="3"/>
          <c:tx>
            <c:strRef>
              <c:f>Sheet1!$A$5</c:f>
              <c:strCache>
                <c:ptCount val="1"/>
                <c:pt idx="0">
                  <c:v>Não informado</c:v>
                </c:pt>
              </c:strCache>
            </c:strRef>
          </c:tx>
          <c:spPr>
            <a:solidFill>
              <a:srgbClr val="CCFFFF"/>
            </a:solidFill>
            <a:ln w="12700">
              <a:solidFill>
                <a:srgbClr val="000000"/>
              </a:solidFill>
              <a:prstDash val="solid"/>
            </a:ln>
          </c:spPr>
          <c:dLbls>
            <c:dLbl>
              <c:idx val="3"/>
              <c:layout>
                <c:manualLayout>
                  <c:x val="0.1280876800520146"/>
                  <c:y val="-0.16875876959264066"/>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Sheet1!$B$5:$E$5</c:f>
              <c:numCache>
                <c:formatCode>General</c:formatCode>
                <c:ptCount val="4"/>
                <c:pt idx="3" formatCode="0.00%">
                  <c:v>3.9000000000000011E-3</c:v>
                </c:pt>
              </c:numCache>
            </c:numRef>
          </c:val>
        </c:ser>
        <c:dLbls>
          <c:showVal val="1"/>
        </c:dLbls>
        <c:gapWidth val="0"/>
        <c:gapDepth val="10"/>
        <c:shape val="box"/>
        <c:axId val="102130816"/>
        <c:axId val="102132352"/>
        <c:axId val="0"/>
      </c:bar3DChart>
      <c:catAx>
        <c:axId val="102130816"/>
        <c:scaling>
          <c:orientation val="minMax"/>
        </c:scaling>
        <c:delete val="1"/>
        <c:axPos val="b"/>
        <c:numFmt formatCode="General" sourceLinked="1"/>
        <c:tickLblPos val="nextTo"/>
        <c:crossAx val="102132352"/>
        <c:crosses val="autoZero"/>
        <c:auto val="1"/>
        <c:lblAlgn val="ctr"/>
        <c:lblOffset val="100"/>
        <c:noMultiLvlLbl val="1"/>
      </c:catAx>
      <c:valAx>
        <c:axId val="102132352"/>
        <c:scaling>
          <c:orientation val="minMax"/>
        </c:scaling>
        <c:delete val="1"/>
        <c:axPos val="l"/>
        <c:majorGridlines>
          <c:spPr>
            <a:ln w="3175">
              <a:solidFill>
                <a:srgbClr val="000000"/>
              </a:solidFill>
              <a:prstDash val="solid"/>
            </a:ln>
          </c:spPr>
        </c:majorGridlines>
        <c:numFmt formatCode="0%" sourceLinked="1"/>
        <c:tickLblPos val="nextTo"/>
        <c:crossAx val="102130816"/>
        <c:crosses val="autoZero"/>
        <c:crossBetween val="between"/>
      </c:valAx>
      <c:spPr>
        <a:noFill/>
        <a:ln w="25400">
          <a:noFill/>
        </a:ln>
      </c:spPr>
    </c:plotArea>
    <c:legend>
      <c:legendPos val="r"/>
      <c:layout>
        <c:manualLayout>
          <c:xMode val="edge"/>
          <c:yMode val="edge"/>
          <c:x val="4.989604989604992E-2"/>
          <c:y val="0.7905982905982909"/>
          <c:w val="0.90644490644490661"/>
          <c:h val="0.19230769230769237"/>
        </c:manualLayout>
      </c:layout>
      <c:spPr>
        <a:noFill/>
        <a:ln w="3175">
          <a:solidFill>
            <a:srgbClr val="000000"/>
          </a:solidFill>
          <a:prstDash val="solid"/>
        </a:ln>
      </c:spPr>
      <c:txPr>
        <a:bodyPr/>
        <a:lstStyle/>
        <a:p>
          <a:pPr>
            <a:defRPr sz="895"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bar3DChart>
        <c:barDir val="col"/>
        <c:grouping val="clustered"/>
        <c:ser>
          <c:idx val="0"/>
          <c:order val="0"/>
          <c:tx>
            <c:strRef>
              <c:f>Sheet1!$A$2</c:f>
              <c:strCache>
                <c:ptCount val="1"/>
                <c:pt idx="0">
                  <c:v>Pai</c:v>
                </c:pt>
              </c:strCache>
            </c:strRef>
          </c:tx>
          <c:spPr>
            <a:solidFill>
              <a:srgbClr val="9999FF"/>
            </a:solidFill>
            <a:ln w="12700">
              <a:solidFill>
                <a:srgbClr val="000000"/>
              </a:solidFill>
              <a:prstDash val="solid"/>
            </a:ln>
          </c:spPr>
          <c:dLbls>
            <c:dLbl>
              <c:idx val="0"/>
              <c:layout>
                <c:manualLayout>
                  <c:x val="0.10115287100517306"/>
                  <c:y val="1.7957621312468367E-2"/>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Sheet1!$B$2:$F$2</c:f>
              <c:numCache>
                <c:formatCode>General</c:formatCode>
                <c:ptCount val="5"/>
                <c:pt idx="0" formatCode="0%">
                  <c:v>0.42310000000000009</c:v>
                </c:pt>
              </c:numCache>
            </c:numRef>
          </c:val>
        </c:ser>
        <c:ser>
          <c:idx val="1"/>
          <c:order val="1"/>
          <c:tx>
            <c:strRef>
              <c:f>Sheet1!$A$3</c:f>
              <c:strCache>
                <c:ptCount val="1"/>
                <c:pt idx="0">
                  <c:v>Padrasto</c:v>
                </c:pt>
              </c:strCache>
            </c:strRef>
          </c:tx>
          <c:spPr>
            <a:solidFill>
              <a:srgbClr val="993366"/>
            </a:solidFill>
            <a:ln w="12700">
              <a:solidFill>
                <a:srgbClr val="000000"/>
              </a:solidFill>
              <a:prstDash val="solid"/>
            </a:ln>
          </c:spPr>
          <c:dLbls>
            <c:dLbl>
              <c:idx val="1"/>
              <c:layout>
                <c:manualLayout>
                  <c:x val="0.10228851951449264"/>
                  <c:y val="-1.1079215665507082E-2"/>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Sheet1!$B$3:$F$3</c:f>
              <c:numCache>
                <c:formatCode>0%</c:formatCode>
                <c:ptCount val="5"/>
                <c:pt idx="1">
                  <c:v>0.16919999999999999</c:v>
                </c:pt>
              </c:numCache>
            </c:numRef>
          </c:val>
        </c:ser>
        <c:ser>
          <c:idx val="2"/>
          <c:order val="2"/>
          <c:tx>
            <c:strRef>
              <c:f>Sheet1!$A$4</c:f>
              <c:strCache>
                <c:ptCount val="1"/>
                <c:pt idx="0">
                  <c:v>Tio</c:v>
                </c:pt>
              </c:strCache>
            </c:strRef>
          </c:tx>
          <c:spPr>
            <a:solidFill>
              <a:srgbClr val="FFFFCC"/>
            </a:solidFill>
            <a:ln w="12700">
              <a:solidFill>
                <a:srgbClr val="000000"/>
              </a:solidFill>
              <a:prstDash val="solid"/>
            </a:ln>
          </c:spPr>
          <c:dLbls>
            <c:dLbl>
              <c:idx val="2"/>
              <c:layout>
                <c:manualLayout>
                  <c:x val="9.9239222223329884E-2"/>
                  <c:y val="-4.110407226839391E-2"/>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Sheet1!$B$4:$F$4</c:f>
              <c:numCache>
                <c:formatCode>General</c:formatCode>
                <c:ptCount val="5"/>
                <c:pt idx="2" formatCode="0%">
                  <c:v>0.1</c:v>
                </c:pt>
              </c:numCache>
            </c:numRef>
          </c:val>
        </c:ser>
        <c:ser>
          <c:idx val="3"/>
          <c:order val="3"/>
          <c:tx>
            <c:strRef>
              <c:f>Sheet1!$A$5</c:f>
              <c:strCache>
                <c:ptCount val="1"/>
                <c:pt idx="0">
                  <c:v>Mãe</c:v>
                </c:pt>
              </c:strCache>
            </c:strRef>
          </c:tx>
          <c:spPr>
            <a:solidFill>
              <a:srgbClr val="CCFFFF"/>
            </a:solidFill>
            <a:ln w="12700">
              <a:solidFill>
                <a:srgbClr val="000000"/>
              </a:solidFill>
              <a:prstDash val="solid"/>
            </a:ln>
          </c:spPr>
          <c:dLbls>
            <c:dLbl>
              <c:idx val="3"/>
              <c:layout>
                <c:manualLayout>
                  <c:x val="9.8225275202359005E-2"/>
                  <c:y val="-6.4031546813268822E-2"/>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Sheet1!$B$5:$F$5</c:f>
              <c:numCache>
                <c:formatCode>General</c:formatCode>
                <c:ptCount val="5"/>
                <c:pt idx="3" formatCode="0.00%">
                  <c:v>7.690000000000001E-2</c:v>
                </c:pt>
              </c:numCache>
            </c:numRef>
          </c:val>
        </c:ser>
        <c:ser>
          <c:idx val="4"/>
          <c:order val="4"/>
          <c:tx>
            <c:strRef>
              <c:f>Sheet1!$A$6</c:f>
              <c:strCache>
                <c:ptCount val="1"/>
                <c:pt idx="0">
                  <c:v>Outros</c:v>
                </c:pt>
              </c:strCache>
            </c:strRef>
          </c:tx>
          <c:spPr>
            <a:solidFill>
              <a:srgbClr val="660066"/>
            </a:solidFill>
            <a:ln w="12700">
              <a:solidFill>
                <a:srgbClr val="000000"/>
              </a:solidFill>
              <a:prstDash val="solid"/>
            </a:ln>
          </c:spPr>
          <c:dLbls>
            <c:dLbl>
              <c:idx val="4"/>
              <c:layout>
                <c:manualLayout>
                  <c:x val="9.7139708292906621E-2"/>
                  <c:y val="-2.54218175439293E-2"/>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Sheet1!$B$6:$F$6</c:f>
              <c:numCache>
                <c:formatCode>General</c:formatCode>
                <c:ptCount val="5"/>
                <c:pt idx="4" formatCode="0.00%">
                  <c:v>0.2331</c:v>
                </c:pt>
              </c:numCache>
            </c:numRef>
          </c:val>
        </c:ser>
        <c:dLbls>
          <c:showVal val="1"/>
        </c:dLbls>
        <c:gapWidth val="0"/>
        <c:gapDepth val="10"/>
        <c:shape val="box"/>
        <c:axId val="77503488"/>
        <c:axId val="83919616"/>
        <c:axId val="0"/>
      </c:bar3DChart>
      <c:catAx>
        <c:axId val="77503488"/>
        <c:scaling>
          <c:orientation val="minMax"/>
        </c:scaling>
        <c:delete val="1"/>
        <c:axPos val="b"/>
        <c:numFmt formatCode="General" sourceLinked="1"/>
        <c:tickLblPos val="nextTo"/>
        <c:crossAx val="83919616"/>
        <c:crosses val="autoZero"/>
        <c:auto val="1"/>
        <c:lblAlgn val="ctr"/>
        <c:lblOffset val="100"/>
        <c:noMultiLvlLbl val="1"/>
      </c:catAx>
      <c:valAx>
        <c:axId val="83919616"/>
        <c:scaling>
          <c:orientation val="minMax"/>
        </c:scaling>
        <c:delete val="1"/>
        <c:axPos val="l"/>
        <c:majorGridlines>
          <c:spPr>
            <a:ln w="3175">
              <a:solidFill>
                <a:srgbClr val="000000"/>
              </a:solidFill>
              <a:prstDash val="solid"/>
            </a:ln>
          </c:spPr>
        </c:majorGridlines>
        <c:numFmt formatCode="0%" sourceLinked="1"/>
        <c:tickLblPos val="nextTo"/>
        <c:crossAx val="77503488"/>
        <c:crosses val="autoZero"/>
        <c:crossBetween val="between"/>
      </c:valAx>
      <c:spPr>
        <a:noFill/>
        <a:ln w="25400">
          <a:noFill/>
        </a:ln>
      </c:spPr>
    </c:plotArea>
    <c:legend>
      <c:legendPos val="r"/>
      <c:layout>
        <c:manualLayout>
          <c:xMode val="edge"/>
          <c:yMode val="edge"/>
          <c:x val="0.23492723492723502"/>
          <c:y val="0.88034188034188054"/>
          <c:w val="0.53014553014553034"/>
          <c:h val="0.10683760683760683"/>
        </c:manualLayout>
      </c:layout>
      <c:spPr>
        <a:noFill/>
        <a:ln w="3175">
          <a:solidFill>
            <a:srgbClr val="000000"/>
          </a:solidFill>
          <a:prstDash val="solid"/>
        </a:ln>
      </c:spPr>
      <c:txPr>
        <a:bodyPr/>
        <a:lstStyle/>
        <a:p>
          <a:pPr>
            <a:defRPr sz="94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bar3DChart>
        <c:barDir val="col"/>
        <c:grouping val="clustered"/>
        <c:ser>
          <c:idx val="0"/>
          <c:order val="0"/>
          <c:tx>
            <c:strRef>
              <c:f>Sheet1!$A$2</c:f>
              <c:strCache>
                <c:ptCount val="1"/>
                <c:pt idx="0">
                  <c:v>Homem/Mulher que alicia para si</c:v>
                </c:pt>
              </c:strCache>
            </c:strRef>
          </c:tx>
          <c:spPr>
            <a:solidFill>
              <a:srgbClr val="9999FF"/>
            </a:solidFill>
            <a:ln w="12700">
              <a:solidFill>
                <a:srgbClr val="000000"/>
              </a:solidFill>
              <a:prstDash val="solid"/>
            </a:ln>
          </c:spPr>
          <c:dLbls>
            <c:dLbl>
              <c:idx val="0"/>
              <c:layout>
                <c:manualLayout>
                  <c:x val="0.20089343467055679"/>
                  <c:y val="-4.8500494815197297E-2"/>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Sheet1!$B$2:$F$2</c:f>
              <c:numCache>
                <c:formatCode>General</c:formatCode>
                <c:ptCount val="5"/>
                <c:pt idx="0" formatCode="0%">
                  <c:v>0.45320000000000005</c:v>
                </c:pt>
              </c:numCache>
            </c:numRef>
          </c:val>
        </c:ser>
        <c:ser>
          <c:idx val="1"/>
          <c:order val="1"/>
          <c:tx>
            <c:strRef>
              <c:f>Sheet1!$A$3</c:f>
              <c:strCache>
                <c:ptCount val="1"/>
                <c:pt idx="0">
                  <c:v>Vizinho</c:v>
                </c:pt>
              </c:strCache>
            </c:strRef>
          </c:tx>
          <c:spPr>
            <a:solidFill>
              <a:srgbClr val="993366"/>
            </a:solidFill>
            <a:ln w="12700">
              <a:solidFill>
                <a:srgbClr val="000000"/>
              </a:solidFill>
              <a:prstDash val="solid"/>
            </a:ln>
          </c:spPr>
          <c:dLbls>
            <c:dLbl>
              <c:idx val="1"/>
              <c:layout>
                <c:manualLayout>
                  <c:x val="0.2020292970024356"/>
                  <c:y val="-0.11374251295511137"/>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Sheet1!$B$3:$F$3</c:f>
              <c:numCache>
                <c:formatCode>0%</c:formatCode>
                <c:ptCount val="5"/>
                <c:pt idx="1">
                  <c:v>0.17240000000000005</c:v>
                </c:pt>
              </c:numCache>
            </c:numRef>
          </c:val>
        </c:ser>
        <c:ser>
          <c:idx val="2"/>
          <c:order val="2"/>
          <c:tx>
            <c:strRef>
              <c:f>Sheet1!$A$4</c:f>
              <c:strCache>
                <c:ptCount val="1"/>
                <c:pt idx="0">
                  <c:v>Líder religioso</c:v>
                </c:pt>
              </c:strCache>
            </c:strRef>
          </c:tx>
          <c:spPr>
            <a:solidFill>
              <a:srgbClr val="FFFFCC"/>
            </a:solidFill>
            <a:ln w="12700">
              <a:solidFill>
                <a:srgbClr val="000000"/>
              </a:solidFill>
              <a:prstDash val="solid"/>
            </a:ln>
          </c:spPr>
          <c:dLbls>
            <c:dLbl>
              <c:idx val="2"/>
              <c:layout>
                <c:manualLayout>
                  <c:x val="0.19192620730090473"/>
                  <c:y val="-0.14682119022637904"/>
                </c:manualLayout>
              </c:layout>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Sheet1!$B$4:$F$4</c:f>
              <c:numCache>
                <c:formatCode>General</c:formatCode>
                <c:ptCount val="5"/>
                <c:pt idx="2" formatCode="0%">
                  <c:v>6.4000000000000029E-2</c:v>
                </c:pt>
              </c:numCache>
            </c:numRef>
          </c:val>
        </c:ser>
        <c:ser>
          <c:idx val="3"/>
          <c:order val="3"/>
          <c:tx>
            <c:strRef>
              <c:f>Sheet1!$A$5</c:f>
              <c:strCache>
                <c:ptCount val="1"/>
                <c:pt idx="0">
                  <c:v>Mãe</c:v>
                </c:pt>
              </c:strCache>
            </c:strRef>
          </c:tx>
          <c:spPr>
            <a:solidFill>
              <a:srgbClr val="CCFFFF"/>
            </a:solidFill>
            <a:ln w="12700">
              <a:solidFill>
                <a:srgbClr val="000000"/>
              </a:solidFill>
              <a:prstDash val="solid"/>
            </a:ln>
          </c:spPr>
          <c:dLbls>
            <c:dLbl>
              <c:idx val="3"/>
              <c:layout>
                <c:manualLayout>
                  <c:x val="0.18367925255812764"/>
                  <c:y val="-9.470580836916187E-2"/>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Sheet1!$B$5:$F$5</c:f>
              <c:numCache>
                <c:formatCode>General</c:formatCode>
                <c:ptCount val="5"/>
                <c:pt idx="3" formatCode="0.00%">
                  <c:v>7.690000000000001E-2</c:v>
                </c:pt>
              </c:numCache>
            </c:numRef>
          </c:val>
        </c:ser>
        <c:ser>
          <c:idx val="4"/>
          <c:order val="4"/>
          <c:tx>
            <c:strRef>
              <c:f>Sheet1!$A$6</c:f>
              <c:strCache>
                <c:ptCount val="1"/>
                <c:pt idx="0">
                  <c:v>Outros</c:v>
                </c:pt>
              </c:strCache>
            </c:strRef>
          </c:tx>
          <c:spPr>
            <a:solidFill>
              <a:srgbClr val="660066"/>
            </a:solidFill>
            <a:ln w="12700">
              <a:solidFill>
                <a:srgbClr val="000000"/>
              </a:solidFill>
              <a:prstDash val="solid"/>
            </a:ln>
          </c:spPr>
          <c:dLbls>
            <c:dLbl>
              <c:idx val="4"/>
              <c:layout>
                <c:manualLayout>
                  <c:x val="0.17723399870712944"/>
                  <c:y val="-9.0152383221958385E-2"/>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Sheet1!$B$6:$F$6</c:f>
              <c:numCache>
                <c:formatCode>General</c:formatCode>
                <c:ptCount val="5"/>
                <c:pt idx="4" formatCode="0.00%">
                  <c:v>0.24310000000000001</c:v>
                </c:pt>
              </c:numCache>
            </c:numRef>
          </c:val>
        </c:ser>
        <c:dLbls>
          <c:showVal val="1"/>
        </c:dLbls>
        <c:gapWidth val="0"/>
        <c:gapDepth val="10"/>
        <c:shape val="box"/>
        <c:axId val="88119168"/>
        <c:axId val="88120704"/>
        <c:axId val="0"/>
      </c:bar3DChart>
      <c:catAx>
        <c:axId val="88119168"/>
        <c:scaling>
          <c:orientation val="minMax"/>
        </c:scaling>
        <c:delete val="1"/>
        <c:axPos val="b"/>
        <c:numFmt formatCode="General" sourceLinked="1"/>
        <c:tickLblPos val="nextTo"/>
        <c:crossAx val="88120704"/>
        <c:crosses val="autoZero"/>
        <c:auto val="1"/>
        <c:lblAlgn val="ctr"/>
        <c:lblOffset val="100"/>
        <c:noMultiLvlLbl val="1"/>
      </c:catAx>
      <c:valAx>
        <c:axId val="88120704"/>
        <c:scaling>
          <c:orientation val="minMax"/>
        </c:scaling>
        <c:delete val="1"/>
        <c:axPos val="l"/>
        <c:majorGridlines>
          <c:spPr>
            <a:ln w="3175">
              <a:solidFill>
                <a:srgbClr val="000000"/>
              </a:solidFill>
              <a:prstDash val="solid"/>
            </a:ln>
          </c:spPr>
        </c:majorGridlines>
        <c:numFmt formatCode="0%" sourceLinked="1"/>
        <c:tickLblPos val="nextTo"/>
        <c:crossAx val="88119168"/>
        <c:crosses val="autoZero"/>
        <c:crossBetween val="between"/>
      </c:valAx>
      <c:spPr>
        <a:noFill/>
        <a:ln w="25400">
          <a:noFill/>
        </a:ln>
      </c:spPr>
    </c:plotArea>
    <c:legend>
      <c:legendPos val="r"/>
      <c:legendEntry>
        <c:idx val="0"/>
        <c:txPr>
          <a:bodyPr/>
          <a:lstStyle/>
          <a:p>
            <a:pPr>
              <a:defRPr sz="920" b="1" i="0" u="none" strike="noStrike" baseline="0">
                <a:solidFill>
                  <a:srgbClr val="000000"/>
                </a:solidFill>
                <a:latin typeface="Calibri"/>
                <a:ea typeface="Calibri"/>
                <a:cs typeface="Calibri"/>
              </a:defRPr>
            </a:pPr>
            <a:endParaRPr lang="pt-BR"/>
          </a:p>
        </c:txPr>
      </c:legendEntry>
      <c:legendEntry>
        <c:idx val="1"/>
        <c:txPr>
          <a:bodyPr/>
          <a:lstStyle/>
          <a:p>
            <a:pPr>
              <a:defRPr sz="920" b="1" i="0" u="none" strike="noStrike" baseline="0">
                <a:solidFill>
                  <a:srgbClr val="000000"/>
                </a:solidFill>
                <a:latin typeface="Calibri"/>
                <a:ea typeface="Calibri"/>
                <a:cs typeface="Calibri"/>
              </a:defRPr>
            </a:pPr>
            <a:endParaRPr lang="pt-BR"/>
          </a:p>
        </c:txPr>
      </c:legendEntry>
      <c:layout>
        <c:manualLayout>
          <c:xMode val="edge"/>
          <c:yMode val="edge"/>
          <c:x val="9.5634095634095723E-2"/>
          <c:y val="0.85897435897435892"/>
          <c:w val="0.90436590436590436"/>
          <c:h val="0.12820512820512819"/>
        </c:manualLayout>
      </c:layout>
      <c:spPr>
        <a:noFill/>
        <a:ln w="3175">
          <a:solidFill>
            <a:srgbClr val="000000"/>
          </a:solidFill>
          <a:prstDash val="solid"/>
        </a:ln>
      </c:spPr>
      <c:txPr>
        <a:bodyPr/>
        <a:lstStyle/>
        <a:p>
          <a:pPr>
            <a:defRPr sz="92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bar3DChart>
        <c:barDir val="col"/>
        <c:grouping val="clustered"/>
        <c:ser>
          <c:idx val="0"/>
          <c:order val="0"/>
          <c:tx>
            <c:strRef>
              <c:f>Sheet1!$A$2</c:f>
              <c:strCache>
                <c:ptCount val="1"/>
                <c:pt idx="0">
                  <c:v>Homem</c:v>
                </c:pt>
              </c:strCache>
            </c:strRef>
          </c:tx>
          <c:spPr>
            <a:solidFill>
              <a:srgbClr val="9999FF"/>
            </a:solidFill>
            <a:ln w="12700">
              <a:solidFill>
                <a:srgbClr val="000000"/>
              </a:solidFill>
              <a:prstDash val="solid"/>
            </a:ln>
          </c:spPr>
          <c:dLbls>
            <c:dLbl>
              <c:idx val="0"/>
              <c:layout>
                <c:manualLayout>
                  <c:xMode val="edge"/>
                  <c:yMode val="edge"/>
                  <c:x val="0.28690228690228703"/>
                  <c:y val="0"/>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Sheet1!$B$2:$F$2</c:f>
              <c:numCache>
                <c:formatCode>General</c:formatCode>
                <c:ptCount val="5"/>
                <c:pt idx="0" formatCode="0%">
                  <c:v>0.90049999999999997</c:v>
                </c:pt>
              </c:numCache>
            </c:numRef>
          </c:val>
        </c:ser>
        <c:ser>
          <c:idx val="1"/>
          <c:order val="1"/>
          <c:tx>
            <c:strRef>
              <c:f>Sheet1!$A$3</c:f>
              <c:strCache>
                <c:ptCount val="1"/>
                <c:pt idx="0">
                  <c:v>Mulher</c:v>
                </c:pt>
              </c:strCache>
            </c:strRef>
          </c:tx>
          <c:spPr>
            <a:solidFill>
              <a:srgbClr val="993366"/>
            </a:solidFill>
            <a:ln w="12700">
              <a:solidFill>
                <a:srgbClr val="000000"/>
              </a:solidFill>
              <a:prstDash val="solid"/>
            </a:ln>
          </c:spPr>
          <c:dLbls>
            <c:dLbl>
              <c:idx val="1"/>
              <c:layout>
                <c:manualLayout>
                  <c:xMode val="edge"/>
                  <c:yMode val="edge"/>
                  <c:x val="0.40332640332640357"/>
                  <c:y val="0.68376068376068377"/>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Sheet1!$B$3:$F$3</c:f>
              <c:numCache>
                <c:formatCode>0%</c:formatCode>
                <c:ptCount val="5"/>
                <c:pt idx="1">
                  <c:v>4.0000000000000015E-2</c:v>
                </c:pt>
              </c:numCache>
            </c:numRef>
          </c:val>
        </c:ser>
        <c:ser>
          <c:idx val="2"/>
          <c:order val="2"/>
          <c:tx>
            <c:strRef>
              <c:f>Sheet1!$A$4</c:f>
              <c:strCache>
                <c:ptCount val="1"/>
                <c:pt idx="0">
                  <c:v>Homem/Mulher</c:v>
                </c:pt>
              </c:strCache>
            </c:strRef>
          </c:tx>
          <c:spPr>
            <a:solidFill>
              <a:srgbClr val="FFFFCC"/>
            </a:solidFill>
            <a:ln w="12700">
              <a:solidFill>
                <a:srgbClr val="000000"/>
              </a:solidFill>
              <a:prstDash val="solid"/>
            </a:ln>
          </c:spPr>
          <c:dLbls>
            <c:dLbl>
              <c:idx val="2"/>
              <c:layout>
                <c:manualLayout>
                  <c:xMode val="edge"/>
                  <c:yMode val="edge"/>
                  <c:x val="0.49896049896049921"/>
                  <c:y val="0.6410256410256413"/>
                </c:manualLayout>
              </c:layout>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Sheet1!$B$4:$F$4</c:f>
              <c:numCache>
                <c:formatCode>General</c:formatCode>
                <c:ptCount val="5"/>
                <c:pt idx="2" formatCode="0%">
                  <c:v>6.0000000000000019E-2</c:v>
                </c:pt>
              </c:numCache>
            </c:numRef>
          </c:val>
        </c:ser>
        <c:dLbls>
          <c:showVal val="1"/>
        </c:dLbls>
        <c:gapWidth val="0"/>
        <c:gapDepth val="10"/>
        <c:shape val="box"/>
        <c:axId val="95738880"/>
        <c:axId val="96350976"/>
        <c:axId val="0"/>
      </c:bar3DChart>
      <c:catAx>
        <c:axId val="95738880"/>
        <c:scaling>
          <c:orientation val="minMax"/>
        </c:scaling>
        <c:delete val="1"/>
        <c:axPos val="b"/>
        <c:numFmt formatCode="General" sourceLinked="1"/>
        <c:tickLblPos val="nextTo"/>
        <c:crossAx val="96350976"/>
        <c:crosses val="autoZero"/>
        <c:auto val="1"/>
        <c:lblAlgn val="ctr"/>
        <c:lblOffset val="100"/>
        <c:noMultiLvlLbl val="1"/>
      </c:catAx>
      <c:valAx>
        <c:axId val="96350976"/>
        <c:scaling>
          <c:orientation val="minMax"/>
        </c:scaling>
        <c:delete val="1"/>
        <c:axPos val="l"/>
        <c:majorGridlines>
          <c:spPr>
            <a:ln w="3175">
              <a:solidFill>
                <a:srgbClr val="000000"/>
              </a:solidFill>
              <a:prstDash val="solid"/>
            </a:ln>
          </c:spPr>
        </c:majorGridlines>
        <c:numFmt formatCode="0%" sourceLinked="1"/>
        <c:tickLblPos val="nextTo"/>
        <c:crossAx val="95738880"/>
        <c:crosses val="autoZero"/>
        <c:crossBetween val="between"/>
      </c:valAx>
      <c:spPr>
        <a:noFill/>
        <a:ln w="25400">
          <a:noFill/>
        </a:ln>
      </c:spPr>
    </c:plotArea>
    <c:legend>
      <c:legendPos val="r"/>
      <c:layout>
        <c:manualLayout>
          <c:xMode val="edge"/>
          <c:yMode val="edge"/>
          <c:x val="0.19958419958419971"/>
          <c:y val="0.85897435897435892"/>
          <c:w val="0.64656964656964677"/>
          <c:h val="0.12820512820512819"/>
        </c:manualLayout>
      </c:layout>
      <c:spPr>
        <a:noFill/>
        <a:ln w="3175">
          <a:solidFill>
            <a:srgbClr val="000000"/>
          </a:solidFill>
          <a:prstDash val="solid"/>
        </a:ln>
      </c:spPr>
      <c:txPr>
        <a:bodyPr/>
        <a:lstStyle/>
        <a:p>
          <a:pPr>
            <a:defRPr sz="110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rotX val="0"/>
      <c:hPercent val="100"/>
      <c:depthPercent val="11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manualLayout>
          <c:layoutTarget val="inner"/>
          <c:xMode val="edge"/>
          <c:yMode val="edge"/>
          <c:x val="9.7713097713097732E-2"/>
          <c:y val="4.2735042735042739E-3"/>
          <c:w val="0.79002079002079029"/>
          <c:h val="0.7350427350427351"/>
        </c:manualLayout>
      </c:layout>
      <c:bar3DChart>
        <c:barDir val="col"/>
        <c:grouping val="clustered"/>
        <c:ser>
          <c:idx val="0"/>
          <c:order val="0"/>
          <c:tx>
            <c:strRef>
              <c:f>Sheet1!$A$2</c:f>
              <c:strCache>
                <c:ptCount val="1"/>
                <c:pt idx="0">
                  <c:v>Negras</c:v>
                </c:pt>
              </c:strCache>
            </c:strRef>
          </c:tx>
          <c:spPr>
            <a:solidFill>
              <a:srgbClr val="9999FF"/>
            </a:solidFill>
            <a:ln w="12700">
              <a:solidFill>
                <a:srgbClr val="000000"/>
              </a:solidFill>
              <a:prstDash val="solid"/>
            </a:ln>
          </c:spPr>
          <c:dLbls>
            <c:dLbl>
              <c:idx val="0"/>
              <c:layout>
                <c:manualLayout>
                  <c:x val="-3.1697721269450209E-3"/>
                  <c:y val="6.2002811739014862E-19"/>
                </c:manualLayout>
              </c:layout>
              <c:showVal val="1"/>
            </c:dLbl>
            <c:dLbl>
              <c:idx val="1"/>
              <c:layout>
                <c:manualLayout>
                  <c:x val="1.5127972663981939E-2"/>
                  <c:y val="-4.1929768236725756E-2"/>
                </c:manualLayout>
              </c:layout>
              <c:showVal val="1"/>
            </c:dLbl>
            <c:dLbl>
              <c:idx val="2"/>
              <c:layout>
                <c:manualLayout>
                  <c:x val="0.57521055158658374"/>
                  <c:y val="6.2002811739014862E-19"/>
                </c:manualLayout>
              </c:layout>
              <c:showVal val="1"/>
            </c:dLbl>
            <c:dLbl>
              <c:idx val="3"/>
              <c:layout>
                <c:manualLayout>
                  <c:x val="0.5255070503870195"/>
                  <c:y val="6.2002811739014862E-19"/>
                </c:manualLayout>
              </c:layout>
              <c:showVal val="1"/>
            </c:dLbl>
            <c:dLbl>
              <c:idx val="4"/>
              <c:layout>
                <c:manualLayout>
                  <c:x val="0.4695556601644561"/>
                  <c:y val="6.2002811739014862E-19"/>
                </c:manualLayout>
              </c:layout>
              <c:showVal val="1"/>
            </c:dLbl>
            <c:spPr>
              <a:noFill/>
              <a:ln w="25401">
                <a:noFill/>
              </a:ln>
            </c:spPr>
            <c:txPr>
              <a:bodyPr/>
              <a:lstStyle/>
              <a:p>
                <a:pPr>
                  <a:defRPr sz="850" b="1" i="0" u="none" strike="noStrike" baseline="0">
                    <a:solidFill>
                      <a:srgbClr val="000000"/>
                    </a:solidFill>
                    <a:latin typeface="Calibri"/>
                    <a:ea typeface="Calibri"/>
                    <a:cs typeface="Calibri"/>
                  </a:defRPr>
                </a:pPr>
                <a:endParaRPr lang="pt-BR"/>
              </a:p>
            </c:txPr>
            <c:showVal val="1"/>
          </c:dLbls>
          <c:cat>
            <c:numRef>
              <c:f>Sheet1!$B$1:$G$1</c:f>
              <c:numCache>
                <c:formatCode>General</c:formatCode>
                <c:ptCount val="6"/>
              </c:numCache>
            </c:numRef>
          </c:cat>
          <c:val>
            <c:numRef>
              <c:f>Sheet1!$B$2:$G$2</c:f>
              <c:numCache>
                <c:formatCode>0.00%</c:formatCode>
                <c:ptCount val="6"/>
                <c:pt idx="1">
                  <c:v>0.71500000000000019</c:v>
                </c:pt>
              </c:numCache>
            </c:numRef>
          </c:val>
        </c:ser>
        <c:ser>
          <c:idx val="3"/>
          <c:order val="1"/>
          <c:tx>
            <c:strRef>
              <c:f>Sheet1!$A$3</c:f>
              <c:strCache>
                <c:ptCount val="1"/>
                <c:pt idx="0">
                  <c:v>Sem ensino fund. Completo</c:v>
                </c:pt>
              </c:strCache>
            </c:strRef>
          </c:tx>
          <c:spPr>
            <a:solidFill>
              <a:srgbClr val="CCFFFF"/>
            </a:solidFill>
            <a:ln w="12700">
              <a:solidFill>
                <a:srgbClr val="000000"/>
              </a:solidFill>
              <a:prstDash val="solid"/>
            </a:ln>
          </c:spPr>
          <c:dLbls>
            <c:dLbl>
              <c:idx val="2"/>
              <c:layout>
                <c:manualLayout>
                  <c:x val="3.3250142639426362E-2"/>
                  <c:y val="-2.5777841767257035E-2"/>
                </c:manualLayout>
              </c:layout>
              <c:showVal val="1"/>
            </c:dLbl>
            <c:dLbl>
              <c:idx val="3"/>
              <c:layout>
                <c:manualLayout>
                  <c:x val="0.14217625375297749"/>
                  <c:y val="6.2002811739014862E-19"/>
                </c:manualLayout>
              </c:layout>
              <c:showVal val="1"/>
            </c:dLbl>
            <c:spPr>
              <a:noFill/>
              <a:ln w="25401">
                <a:noFill/>
              </a:ln>
            </c:spPr>
            <c:txPr>
              <a:bodyPr/>
              <a:lstStyle/>
              <a:p>
                <a:pPr>
                  <a:defRPr sz="850" b="1" i="0" u="none" strike="noStrike" baseline="0">
                    <a:solidFill>
                      <a:srgbClr val="000000"/>
                    </a:solidFill>
                    <a:latin typeface="Calibri"/>
                    <a:ea typeface="Calibri"/>
                    <a:cs typeface="Calibri"/>
                  </a:defRPr>
                </a:pPr>
                <a:endParaRPr lang="pt-BR"/>
              </a:p>
            </c:txPr>
            <c:showVal val="1"/>
          </c:dLbls>
          <c:cat>
            <c:numRef>
              <c:f>Sheet1!$B$1:$G$1</c:f>
              <c:numCache>
                <c:formatCode>General</c:formatCode>
                <c:ptCount val="6"/>
              </c:numCache>
            </c:numRef>
          </c:cat>
          <c:val>
            <c:numRef>
              <c:f>Sheet1!$B$3:$G$3</c:f>
              <c:numCache>
                <c:formatCode>General</c:formatCode>
                <c:ptCount val="6"/>
                <c:pt idx="2" formatCode="0.00%">
                  <c:v>0.77300000000000024</c:v>
                </c:pt>
              </c:numCache>
            </c:numRef>
          </c:val>
        </c:ser>
        <c:ser>
          <c:idx val="4"/>
          <c:order val="2"/>
          <c:tx>
            <c:strRef>
              <c:f>Sheet1!$A$4</c:f>
              <c:strCache>
                <c:ptCount val="1"/>
                <c:pt idx="0">
                  <c:v>Renda mensal de até um salário mínimo</c:v>
                </c:pt>
              </c:strCache>
            </c:strRef>
          </c:tx>
          <c:spPr>
            <a:solidFill>
              <a:srgbClr val="660066"/>
            </a:solidFill>
            <a:ln w="12700">
              <a:solidFill>
                <a:srgbClr val="000000"/>
              </a:solidFill>
              <a:prstDash val="solid"/>
            </a:ln>
          </c:spPr>
          <c:dLbls>
            <c:dLbl>
              <c:idx val="3"/>
              <c:layout>
                <c:manualLayout>
                  <c:x val="4.0961724898732961E-2"/>
                  <c:y val="-4.5032562922068545E-2"/>
                </c:manualLayout>
              </c:layout>
              <c:showVal val="1"/>
            </c:dLbl>
            <c:dLbl>
              <c:idx val="4"/>
              <c:layout>
                <c:manualLayout>
                  <c:x val="0.15403261011672789"/>
                  <c:y val="6.2002811739014862E-19"/>
                </c:manualLayout>
              </c:layout>
              <c:showVal val="1"/>
            </c:dLbl>
            <c:spPr>
              <a:noFill/>
              <a:ln w="25401">
                <a:noFill/>
              </a:ln>
            </c:spPr>
            <c:txPr>
              <a:bodyPr/>
              <a:lstStyle/>
              <a:p>
                <a:pPr>
                  <a:defRPr sz="850" b="1" i="0" u="none" strike="noStrike" baseline="0">
                    <a:solidFill>
                      <a:srgbClr val="000000"/>
                    </a:solidFill>
                    <a:latin typeface="Calibri"/>
                    <a:ea typeface="Calibri"/>
                    <a:cs typeface="Calibri"/>
                  </a:defRPr>
                </a:pPr>
                <a:endParaRPr lang="pt-BR"/>
              </a:p>
            </c:txPr>
            <c:showVal val="1"/>
          </c:dLbls>
          <c:cat>
            <c:numRef>
              <c:f>Sheet1!$B$1:$G$1</c:f>
              <c:numCache>
                <c:formatCode>General</c:formatCode>
                <c:ptCount val="6"/>
              </c:numCache>
            </c:numRef>
          </c:cat>
          <c:val>
            <c:numRef>
              <c:f>Sheet1!$B$4:$G$4</c:f>
              <c:numCache>
                <c:formatCode>General</c:formatCode>
                <c:ptCount val="6"/>
                <c:pt idx="3" formatCode="0.00%">
                  <c:v>0.503</c:v>
                </c:pt>
              </c:numCache>
            </c:numRef>
          </c:val>
        </c:ser>
        <c:ser>
          <c:idx val="1"/>
          <c:order val="3"/>
          <c:tx>
            <c:strRef>
              <c:f>Sheet1!$A$5</c:f>
              <c:strCache>
                <c:ptCount val="1"/>
                <c:pt idx="0">
                  <c:v>entre 15 e 18 anos</c:v>
                </c:pt>
              </c:strCache>
            </c:strRef>
          </c:tx>
          <c:spPr>
            <a:solidFill>
              <a:srgbClr val="993366"/>
            </a:solidFill>
            <a:ln w="12700">
              <a:solidFill>
                <a:srgbClr val="000000"/>
              </a:solidFill>
              <a:prstDash val="solid"/>
            </a:ln>
          </c:spPr>
          <c:dLbls>
            <c:dLbl>
              <c:idx val="4"/>
              <c:layout>
                <c:manualLayout>
                  <c:x val="2.7176714466900859E-2"/>
                  <c:y val="6.8603010374018473E-3"/>
                </c:manualLayout>
              </c:layout>
              <c:showVal val="1"/>
            </c:dLbl>
            <c:spPr>
              <a:noFill/>
              <a:ln w="25401">
                <a:noFill/>
              </a:ln>
            </c:spPr>
            <c:txPr>
              <a:bodyPr/>
              <a:lstStyle/>
              <a:p>
                <a:pPr>
                  <a:defRPr sz="825" b="1" i="0" u="none" strike="noStrike" baseline="0">
                    <a:solidFill>
                      <a:srgbClr val="000000"/>
                    </a:solidFill>
                    <a:latin typeface="Calibri"/>
                    <a:ea typeface="Calibri"/>
                    <a:cs typeface="Calibri"/>
                  </a:defRPr>
                </a:pPr>
                <a:endParaRPr lang="pt-BR"/>
              </a:p>
            </c:txPr>
            <c:showVal val="1"/>
          </c:dLbls>
          <c:cat>
            <c:numRef>
              <c:f>Sheet1!$B$1:$G$1</c:f>
              <c:numCache>
                <c:formatCode>General</c:formatCode>
                <c:ptCount val="6"/>
              </c:numCache>
            </c:numRef>
          </c:cat>
          <c:val>
            <c:numRef>
              <c:f>Sheet1!$B$5:$G$5</c:f>
              <c:numCache>
                <c:formatCode>General</c:formatCode>
                <c:ptCount val="6"/>
                <c:pt idx="4" formatCode="0%">
                  <c:v>0.78500000000000003</c:v>
                </c:pt>
              </c:numCache>
            </c:numRef>
          </c:val>
        </c:ser>
        <c:ser>
          <c:idx val="2"/>
          <c:order val="4"/>
          <c:tx>
            <c:strRef>
              <c:f>Sheet1!$A$6</c:f>
              <c:strCache>
                <c:ptCount val="1"/>
                <c:pt idx="0">
                  <c:v>Sexo feminino</c:v>
                </c:pt>
              </c:strCache>
            </c:strRef>
          </c:tx>
          <c:spPr>
            <a:solidFill>
              <a:srgbClr val="FFFFCC"/>
            </a:solidFill>
            <a:ln w="12700">
              <a:solidFill>
                <a:srgbClr val="000000"/>
              </a:solidFill>
              <a:prstDash val="solid"/>
            </a:ln>
          </c:spPr>
          <c:dLbls>
            <c:dLbl>
              <c:idx val="5"/>
              <c:layout>
                <c:manualLayout>
                  <c:x val="5.3222089886195964E-2"/>
                  <c:y val="8.4962362050267151E-3"/>
                </c:manualLayout>
              </c:layout>
              <c:showVal val="1"/>
            </c:dLbl>
            <c:spPr>
              <a:noFill/>
              <a:ln w="25401">
                <a:noFill/>
              </a:ln>
            </c:spPr>
            <c:txPr>
              <a:bodyPr/>
              <a:lstStyle/>
              <a:p>
                <a:pPr>
                  <a:defRPr sz="825" b="1" i="0" u="none" strike="noStrike" baseline="0">
                    <a:solidFill>
                      <a:srgbClr val="000000"/>
                    </a:solidFill>
                    <a:latin typeface="Calibri"/>
                    <a:ea typeface="Calibri"/>
                    <a:cs typeface="Calibri"/>
                  </a:defRPr>
                </a:pPr>
                <a:endParaRPr lang="pt-BR"/>
              </a:p>
            </c:txPr>
            <c:showVal val="1"/>
          </c:dLbls>
          <c:cat>
            <c:numRef>
              <c:f>Sheet1!$B$1:$G$1</c:f>
              <c:numCache>
                <c:formatCode>General</c:formatCode>
                <c:ptCount val="6"/>
              </c:numCache>
            </c:numRef>
          </c:cat>
          <c:val>
            <c:numRef>
              <c:f>Sheet1!$B$6:$G$6</c:f>
              <c:numCache>
                <c:formatCode>General</c:formatCode>
                <c:ptCount val="6"/>
                <c:pt idx="5" formatCode="0.00%">
                  <c:v>0.89400000000000002</c:v>
                </c:pt>
              </c:numCache>
            </c:numRef>
          </c:val>
        </c:ser>
        <c:dLbls>
          <c:showVal val="1"/>
        </c:dLbls>
        <c:gapWidth val="0"/>
        <c:gapDepth val="0"/>
        <c:shape val="box"/>
        <c:axId val="96732672"/>
        <c:axId val="96734208"/>
        <c:axId val="0"/>
      </c:bar3DChart>
      <c:catAx>
        <c:axId val="96732672"/>
        <c:scaling>
          <c:orientation val="minMax"/>
        </c:scaling>
        <c:axPos val="b"/>
        <c:numFmt formatCode="General" sourceLinked="1"/>
        <c:tickLblPos val="low"/>
        <c:spPr>
          <a:ln w="3175">
            <a:solidFill>
              <a:srgbClr val="000000"/>
            </a:solidFill>
            <a:prstDash val="solid"/>
          </a:ln>
        </c:spPr>
        <c:txPr>
          <a:bodyPr rot="-5400000" vert="horz"/>
          <a:lstStyle/>
          <a:p>
            <a:pPr>
              <a:defRPr sz="800" b="1" i="0" u="none" strike="noStrike" baseline="0">
                <a:solidFill>
                  <a:srgbClr val="000000"/>
                </a:solidFill>
                <a:latin typeface="Calibri"/>
                <a:ea typeface="Calibri"/>
                <a:cs typeface="Calibri"/>
              </a:defRPr>
            </a:pPr>
            <a:endParaRPr lang="pt-BR"/>
          </a:p>
        </c:txPr>
        <c:crossAx val="96734208"/>
        <c:crosses val="autoZero"/>
        <c:auto val="1"/>
        <c:lblAlgn val="ctr"/>
        <c:lblOffset val="100"/>
        <c:tickLblSkip val="1"/>
        <c:tickMarkSkip val="1"/>
        <c:noMultiLvlLbl val="1"/>
      </c:catAx>
      <c:valAx>
        <c:axId val="96734208"/>
        <c:scaling>
          <c:orientation val="minMax"/>
        </c:scaling>
        <c:delete val="1"/>
        <c:axPos val="l"/>
        <c:majorGridlines>
          <c:spPr>
            <a:ln w="3175">
              <a:solidFill>
                <a:srgbClr val="000000"/>
              </a:solidFill>
              <a:prstDash val="solid"/>
            </a:ln>
          </c:spPr>
        </c:majorGridlines>
        <c:numFmt formatCode="General" sourceLinked="1"/>
        <c:tickLblPos val="nextTo"/>
        <c:crossAx val="96732672"/>
        <c:crosses val="autoZero"/>
        <c:crossBetween val="between"/>
      </c:valAx>
      <c:spPr>
        <a:noFill/>
        <a:ln w="25401">
          <a:noFill/>
        </a:ln>
      </c:spPr>
    </c:plotArea>
    <c:legend>
      <c:legendPos val="b"/>
      <c:spPr>
        <a:noFill/>
        <a:ln w="3175">
          <a:solidFill>
            <a:srgbClr val="000000"/>
          </a:solidFill>
          <a:prstDash val="solid"/>
        </a:ln>
      </c:spPr>
      <c:txPr>
        <a:bodyPr/>
        <a:lstStyle/>
        <a:p>
          <a:pPr>
            <a:defRPr sz="92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manualLayout>
          <c:layoutTarget val="inner"/>
          <c:xMode val="edge"/>
          <c:yMode val="edge"/>
          <c:x val="1.8711018711018722E-2"/>
          <c:y val="3.8461538461538464E-2"/>
          <c:w val="0.94802494802494808"/>
          <c:h val="0.70940170940170943"/>
        </c:manualLayout>
      </c:layout>
      <c:bar3DChart>
        <c:barDir val="col"/>
        <c:grouping val="clustered"/>
        <c:ser>
          <c:idx val="0"/>
          <c:order val="0"/>
          <c:tx>
            <c:strRef>
              <c:f>Sheet1!$A$2</c:f>
              <c:strCache>
                <c:ptCount val="1"/>
                <c:pt idx="0">
                  <c:v>Necessidade econômica</c:v>
                </c:pt>
              </c:strCache>
            </c:strRef>
          </c:tx>
          <c:spPr>
            <a:solidFill>
              <a:srgbClr val="9999FF"/>
            </a:solidFill>
            <a:ln w="12700">
              <a:solidFill>
                <a:srgbClr val="000000"/>
              </a:solidFill>
              <a:prstDash val="solid"/>
            </a:ln>
          </c:spPr>
          <c:dLbls>
            <c:dLbl>
              <c:idx val="0"/>
              <c:layout>
                <c:manualLayout>
                  <c:xMode val="edge"/>
                  <c:yMode val="edge"/>
                  <c:x val="0.31392931392931417"/>
                  <c:y val="0.26923076923076933"/>
                </c:manualLayout>
              </c:layout>
              <c:showVal val="1"/>
            </c:dLbl>
            <c:spPr>
              <a:noFill/>
              <a:ln w="25401">
                <a:noFill/>
              </a:ln>
            </c:spPr>
            <c:txPr>
              <a:bodyPr/>
              <a:lstStyle/>
              <a:p>
                <a:pPr>
                  <a:defRPr sz="95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Sheet1!$B$2:$F$2</c:f>
              <c:numCache>
                <c:formatCode>General</c:formatCode>
                <c:ptCount val="5"/>
                <c:pt idx="0" formatCode="0%">
                  <c:v>0.22500000000000001</c:v>
                </c:pt>
              </c:numCache>
            </c:numRef>
          </c:val>
        </c:ser>
        <c:ser>
          <c:idx val="1"/>
          <c:order val="1"/>
          <c:tx>
            <c:strRef>
              <c:f>Sheet1!$A$3</c:f>
              <c:strCache>
                <c:ptCount val="1"/>
                <c:pt idx="0">
                  <c:v>Para os gastos pessoais</c:v>
                </c:pt>
              </c:strCache>
            </c:strRef>
          </c:tx>
          <c:spPr>
            <a:solidFill>
              <a:srgbClr val="993366"/>
            </a:solidFill>
            <a:ln w="12700">
              <a:solidFill>
                <a:srgbClr val="000000"/>
              </a:solidFill>
              <a:prstDash val="solid"/>
            </a:ln>
          </c:spPr>
          <c:dLbls>
            <c:dLbl>
              <c:idx val="1"/>
              <c:layout>
                <c:manualLayout>
                  <c:xMode val="edge"/>
                  <c:yMode val="edge"/>
                  <c:x val="0.39501039501039525"/>
                  <c:y val="0.39316239316239338"/>
                </c:manualLayout>
              </c:layout>
              <c:showVal val="1"/>
            </c:dLbl>
            <c:spPr>
              <a:noFill/>
              <a:ln w="25401">
                <a:noFill/>
              </a:ln>
            </c:spPr>
            <c:txPr>
              <a:bodyPr/>
              <a:lstStyle/>
              <a:p>
                <a:pPr>
                  <a:defRPr sz="95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Sheet1!$B$3:$F$3</c:f>
              <c:numCache>
                <c:formatCode>0%</c:formatCode>
                <c:ptCount val="5"/>
                <c:pt idx="1">
                  <c:v>0.14000000000000001</c:v>
                </c:pt>
              </c:numCache>
            </c:numRef>
          </c:val>
        </c:ser>
        <c:ser>
          <c:idx val="2"/>
          <c:order val="2"/>
          <c:tx>
            <c:strRef>
              <c:f>Sheet1!$A$4</c:f>
              <c:strCache>
                <c:ptCount val="1"/>
                <c:pt idx="0">
                  <c:v>Influência de amigos</c:v>
                </c:pt>
              </c:strCache>
            </c:strRef>
          </c:tx>
          <c:spPr>
            <a:solidFill>
              <a:srgbClr val="FFFFCC"/>
            </a:solidFill>
            <a:ln w="12700">
              <a:solidFill>
                <a:srgbClr val="000000"/>
              </a:solidFill>
              <a:prstDash val="solid"/>
            </a:ln>
          </c:spPr>
          <c:dLbls>
            <c:dLbl>
              <c:idx val="2"/>
              <c:layout>
                <c:manualLayout>
                  <c:xMode val="edge"/>
                  <c:yMode val="edge"/>
                  <c:x val="0.46777546777546791"/>
                  <c:y val="0.39316239316239338"/>
                </c:manualLayout>
              </c:layout>
              <c:showVal val="1"/>
            </c:dLbl>
            <c:spPr>
              <a:noFill/>
              <a:ln w="25401">
                <a:noFill/>
              </a:ln>
            </c:spPr>
            <c:txPr>
              <a:bodyPr/>
              <a:lstStyle/>
              <a:p>
                <a:pPr>
                  <a:defRPr sz="95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Sheet1!$B$4:$F$4</c:f>
              <c:numCache>
                <c:formatCode>General</c:formatCode>
                <c:ptCount val="5"/>
                <c:pt idx="2" formatCode="0%">
                  <c:v>0.13200000000000001</c:v>
                </c:pt>
              </c:numCache>
            </c:numRef>
          </c:val>
        </c:ser>
        <c:ser>
          <c:idx val="3"/>
          <c:order val="3"/>
          <c:tx>
            <c:strRef>
              <c:f>Sheet1!$A$5</c:f>
              <c:strCache>
                <c:ptCount val="1"/>
                <c:pt idx="0">
                  <c:v>Para adquirir coisas</c:v>
                </c:pt>
              </c:strCache>
            </c:strRef>
          </c:tx>
          <c:spPr>
            <a:solidFill>
              <a:srgbClr val="CCFFFF"/>
            </a:solidFill>
            <a:ln w="12700">
              <a:solidFill>
                <a:srgbClr val="000000"/>
              </a:solidFill>
              <a:prstDash val="solid"/>
            </a:ln>
          </c:spPr>
          <c:dLbls>
            <c:dLbl>
              <c:idx val="3"/>
              <c:layout>
                <c:manualLayout>
                  <c:xMode val="edge"/>
                  <c:yMode val="edge"/>
                  <c:x val="0.52390852390852394"/>
                  <c:y val="0.46581196581196593"/>
                </c:manualLayout>
              </c:layout>
              <c:showVal val="1"/>
            </c:dLbl>
            <c:spPr>
              <a:noFill/>
              <a:ln w="25401">
                <a:noFill/>
              </a:ln>
            </c:spPr>
            <c:txPr>
              <a:bodyPr/>
              <a:lstStyle/>
              <a:p>
                <a:pPr>
                  <a:defRPr sz="95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Sheet1!$B$5:$F$5</c:f>
              <c:numCache>
                <c:formatCode>General</c:formatCode>
                <c:ptCount val="5"/>
                <c:pt idx="3" formatCode="0.00%">
                  <c:v>0.10900000000000003</c:v>
                </c:pt>
              </c:numCache>
            </c:numRef>
          </c:val>
        </c:ser>
        <c:ser>
          <c:idx val="4"/>
          <c:order val="4"/>
          <c:tx>
            <c:strRef>
              <c:f>Sheet1!$A$6</c:f>
              <c:strCache>
                <c:ptCount val="1"/>
                <c:pt idx="0">
                  <c:v>Outros</c:v>
                </c:pt>
              </c:strCache>
            </c:strRef>
          </c:tx>
          <c:spPr>
            <a:solidFill>
              <a:srgbClr val="660066"/>
            </a:solidFill>
            <a:ln w="12700">
              <a:solidFill>
                <a:srgbClr val="000000"/>
              </a:solidFill>
              <a:prstDash val="solid"/>
            </a:ln>
          </c:spPr>
          <c:dLbls>
            <c:dLbl>
              <c:idx val="4"/>
              <c:layout>
                <c:manualLayout>
                  <c:xMode val="edge"/>
                  <c:yMode val="edge"/>
                  <c:x val="0.67775467775467824"/>
                  <c:y val="1.282051282051282E-2"/>
                </c:manualLayout>
              </c:layout>
              <c:showVal val="1"/>
            </c:dLbl>
            <c:spPr>
              <a:noFill/>
              <a:ln w="25401">
                <a:noFill/>
              </a:ln>
            </c:spPr>
            <c:txPr>
              <a:bodyPr/>
              <a:lstStyle/>
              <a:p>
                <a:pPr>
                  <a:defRPr sz="950" b="1" i="0" u="none" strike="noStrike" baseline="0">
                    <a:solidFill>
                      <a:srgbClr val="000000"/>
                    </a:solidFill>
                    <a:latin typeface="Calibri"/>
                    <a:ea typeface="Calibri"/>
                    <a:cs typeface="Calibri"/>
                  </a:defRPr>
                </a:pPr>
                <a:endParaRPr lang="pt-BR"/>
              </a:p>
            </c:txPr>
            <c:showVal val="1"/>
          </c:dLbls>
          <c:cat>
            <c:numRef>
              <c:f>Sheet1!$B$1:$F$1</c:f>
              <c:numCache>
                <c:formatCode>General</c:formatCode>
                <c:ptCount val="5"/>
              </c:numCache>
            </c:numRef>
          </c:cat>
          <c:val>
            <c:numRef>
              <c:f>Sheet1!$B$6:$F$6</c:f>
              <c:numCache>
                <c:formatCode>General</c:formatCode>
                <c:ptCount val="5"/>
                <c:pt idx="4" formatCode="0.00%">
                  <c:v>0.39100000000000013</c:v>
                </c:pt>
              </c:numCache>
            </c:numRef>
          </c:val>
        </c:ser>
        <c:dLbls>
          <c:showVal val="1"/>
        </c:dLbls>
        <c:gapWidth val="0"/>
        <c:gapDepth val="10"/>
        <c:shape val="box"/>
        <c:axId val="96944128"/>
        <c:axId val="96945664"/>
        <c:axId val="0"/>
      </c:bar3DChart>
      <c:catAx>
        <c:axId val="96944128"/>
        <c:scaling>
          <c:orientation val="minMax"/>
        </c:scaling>
        <c:delete val="1"/>
        <c:axPos val="b"/>
        <c:numFmt formatCode="General" sourceLinked="1"/>
        <c:tickLblPos val="nextTo"/>
        <c:crossAx val="96945664"/>
        <c:crosses val="autoZero"/>
        <c:auto val="1"/>
        <c:lblAlgn val="ctr"/>
        <c:lblOffset val="100"/>
        <c:noMultiLvlLbl val="1"/>
      </c:catAx>
      <c:valAx>
        <c:axId val="96945664"/>
        <c:scaling>
          <c:orientation val="minMax"/>
        </c:scaling>
        <c:delete val="1"/>
        <c:axPos val="l"/>
        <c:majorGridlines>
          <c:spPr>
            <a:ln w="3175">
              <a:solidFill>
                <a:srgbClr val="000000"/>
              </a:solidFill>
              <a:prstDash val="solid"/>
            </a:ln>
          </c:spPr>
        </c:majorGridlines>
        <c:numFmt formatCode="0%" sourceLinked="1"/>
        <c:tickLblPos val="nextTo"/>
        <c:crossAx val="96944128"/>
        <c:crosses val="autoZero"/>
        <c:crossBetween val="between"/>
      </c:valAx>
      <c:spPr>
        <a:noFill/>
        <a:ln w="25401">
          <a:noFill/>
        </a:ln>
      </c:spPr>
    </c:plotArea>
    <c:legend>
      <c:legendPos val="r"/>
      <c:legendEntry>
        <c:idx val="0"/>
        <c:txPr>
          <a:bodyPr/>
          <a:lstStyle/>
          <a:p>
            <a:pPr>
              <a:defRPr sz="1010" b="1" i="0" u="none" strike="noStrike" baseline="0">
                <a:solidFill>
                  <a:srgbClr val="000000"/>
                </a:solidFill>
                <a:latin typeface="Calibri"/>
                <a:ea typeface="Calibri"/>
                <a:cs typeface="Calibri"/>
              </a:defRPr>
            </a:pPr>
            <a:endParaRPr lang="pt-BR"/>
          </a:p>
        </c:txPr>
      </c:legendEntry>
      <c:legendEntry>
        <c:idx val="1"/>
        <c:txPr>
          <a:bodyPr/>
          <a:lstStyle/>
          <a:p>
            <a:pPr>
              <a:defRPr sz="1010" b="1" i="0" u="none" strike="noStrike" baseline="0">
                <a:solidFill>
                  <a:srgbClr val="000000"/>
                </a:solidFill>
                <a:latin typeface="Calibri"/>
                <a:ea typeface="Calibri"/>
                <a:cs typeface="Calibri"/>
              </a:defRPr>
            </a:pPr>
            <a:endParaRPr lang="pt-BR"/>
          </a:p>
        </c:txPr>
      </c:legendEntry>
      <c:legendEntry>
        <c:idx val="2"/>
        <c:txPr>
          <a:bodyPr/>
          <a:lstStyle/>
          <a:p>
            <a:pPr>
              <a:defRPr sz="1010" b="1" i="0" u="none" strike="noStrike" baseline="0">
                <a:solidFill>
                  <a:srgbClr val="000000"/>
                </a:solidFill>
                <a:latin typeface="Calibri"/>
                <a:ea typeface="Calibri"/>
                <a:cs typeface="Calibri"/>
              </a:defRPr>
            </a:pPr>
            <a:endParaRPr lang="pt-BR"/>
          </a:p>
        </c:txPr>
      </c:legendEntry>
      <c:legendEntry>
        <c:idx val="3"/>
        <c:txPr>
          <a:bodyPr/>
          <a:lstStyle/>
          <a:p>
            <a:pPr>
              <a:defRPr sz="1010" b="1" i="0" u="none" strike="noStrike" baseline="0">
                <a:solidFill>
                  <a:srgbClr val="000000"/>
                </a:solidFill>
                <a:latin typeface="Calibri"/>
                <a:ea typeface="Calibri"/>
                <a:cs typeface="Calibri"/>
              </a:defRPr>
            </a:pPr>
            <a:endParaRPr lang="pt-BR"/>
          </a:p>
        </c:txPr>
      </c:legendEntry>
      <c:legendEntry>
        <c:idx val="4"/>
        <c:txPr>
          <a:bodyPr/>
          <a:lstStyle/>
          <a:p>
            <a:pPr>
              <a:defRPr sz="1010" b="1" i="0" u="none" strike="noStrike" baseline="0">
                <a:solidFill>
                  <a:srgbClr val="000000"/>
                </a:solidFill>
                <a:latin typeface="Calibri"/>
                <a:ea typeface="Calibri"/>
                <a:cs typeface="Calibri"/>
              </a:defRPr>
            </a:pPr>
            <a:endParaRPr lang="pt-BR"/>
          </a:p>
        </c:txPr>
      </c:legendEntry>
      <c:layout>
        <c:manualLayout>
          <c:xMode val="edge"/>
          <c:yMode val="edge"/>
          <c:x val="7.4844074844074876E-2"/>
          <c:y val="0.77777777777777801"/>
          <c:w val="0.92515592515592493"/>
          <c:h val="0.22222222222222221"/>
        </c:manualLayout>
      </c:layout>
      <c:spPr>
        <a:noFill/>
        <a:ln w="3175">
          <a:solidFill>
            <a:srgbClr val="000000"/>
          </a:solidFill>
          <a:prstDash val="solid"/>
        </a:ln>
      </c:spPr>
      <c:txPr>
        <a:bodyPr/>
        <a:lstStyle/>
        <a:p>
          <a:pPr>
            <a:defRPr sz="110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pt-BR"/>
  <c:chart>
    <c:autoTitleDeleted val="1"/>
    <c:plotArea>
      <c:layout>
        <c:manualLayout>
          <c:layoutTarget val="inner"/>
          <c:xMode val="edge"/>
          <c:yMode val="edge"/>
          <c:x val="1.0395010395010401E-2"/>
          <c:y val="0.10256410256410259"/>
          <c:w val="0.97713097713097741"/>
          <c:h val="0.66666666666666663"/>
        </c:manualLayout>
      </c:layout>
      <c:barChart>
        <c:barDir val="col"/>
        <c:grouping val="clustered"/>
        <c:ser>
          <c:idx val="0"/>
          <c:order val="0"/>
          <c:tx>
            <c:strRef>
              <c:f>Sheet1!$A$2</c:f>
              <c:strCache>
                <c:ptCount val="1"/>
                <c:pt idx="0">
                  <c:v>15</c:v>
                </c:pt>
              </c:strCache>
            </c:strRef>
          </c:tx>
          <c:spPr>
            <a:solidFill>
              <a:srgbClr val="9999FF"/>
            </a:solidFill>
            <a:ln w="12700">
              <a:solidFill>
                <a:srgbClr val="000000"/>
              </a:solidFill>
              <a:prstDash val="solid"/>
            </a:ln>
          </c:spPr>
          <c:dLbls>
            <c:dLbl>
              <c:idx val="0"/>
              <c:layout>
                <c:manualLayout>
                  <c:x val="5.5924165717773575E-3"/>
                  <c:y val="-5.7799181155318971E-2"/>
                </c:manualLayout>
              </c:layout>
              <c:dLblPos val="outEnd"/>
              <c:showVal val="1"/>
            </c:dLbl>
            <c:dLbl>
              <c:idx val="1"/>
              <c:layout>
                <c:manualLayout>
                  <c:x val="2.9560586527727986E-3"/>
                  <c:y val="0.61538461538461564"/>
                </c:manualLayout>
              </c:layout>
              <c:dLblPos val="outEnd"/>
              <c:showVal val="1"/>
            </c:dLbl>
            <c:dLbl>
              <c:idx val="2"/>
              <c:layout>
                <c:manualLayout>
                  <c:x val="2.9558817268296976E-3"/>
                  <c:y val="0.61538461538461564"/>
                </c:manualLayout>
              </c:layout>
              <c:dLblPos val="outEnd"/>
              <c:showVal val="1"/>
            </c:dLbl>
            <c:dLbl>
              <c:idx val="3"/>
              <c:layout>
                <c:manualLayout>
                  <c:x val="5.2851968519495952E-2"/>
                  <c:y val="0.65384615384615385"/>
                </c:manualLayout>
              </c:layout>
              <c:dLblPos val="outEnd"/>
              <c:showVal val="1"/>
            </c:dLbl>
            <c:dLbl>
              <c:idx val="4"/>
              <c:layout>
                <c:manualLayout>
                  <c:x val="2.9559555200622768E-3"/>
                  <c:y val="0.6324786324786329"/>
                </c:manualLayout>
              </c:layout>
              <c:dLblPos val="outEnd"/>
              <c:showVal val="1"/>
            </c:dLbl>
            <c:dLbl>
              <c:idx val="5"/>
              <c:layout>
                <c:manualLayout>
                  <c:x val="1.7509006969693049E-2"/>
                  <c:y val="0.60256410256410264"/>
                </c:manualLayout>
              </c:layout>
              <c:dLblPos val="outEnd"/>
              <c:showVal val="1"/>
            </c:dLbl>
            <c:dLbl>
              <c:idx val="6"/>
              <c:layout>
                <c:manualLayout>
                  <c:x val="7.1140334712990411E-3"/>
                  <c:y val="0.61538461538461564"/>
                </c:manualLayout>
              </c:layout>
              <c:dLblPos val="outEnd"/>
              <c:showVal val="1"/>
            </c:dLbl>
            <c:dLbl>
              <c:idx val="7"/>
              <c:layout>
                <c:manualLayout>
                  <c:x val="8.7685030834950834E-4"/>
                  <c:y val="0.5982905982905985"/>
                </c:manualLayout>
              </c:layout>
              <c:dLblPos val="outEnd"/>
              <c:showVal val="1"/>
            </c:dLbl>
            <c:dLbl>
              <c:idx val="8"/>
              <c:layout>
                <c:manualLayout>
                  <c:x val="2.9558892839680849E-3"/>
                  <c:y val="0.66666666666666663"/>
                </c:manualLayout>
              </c:layout>
              <c:dLblPos val="outEnd"/>
              <c:showVal val="1"/>
            </c:dLbl>
            <c:dLbl>
              <c:idx val="9"/>
              <c:layout>
                <c:manualLayout>
                  <c:x val="7.1139303385884629E-3"/>
                  <c:y val="0.64957264957264949"/>
                </c:manualLayout>
              </c:layout>
              <c:dLblPos val="outEnd"/>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Sheet1!$B$2:$K$2</c:f>
              <c:numCache>
                <c:formatCode>General</c:formatCode>
                <c:ptCount val="10"/>
                <c:pt idx="0" formatCode="0%">
                  <c:v>6.0000000000000019E-2</c:v>
                </c:pt>
              </c:numCache>
            </c:numRef>
          </c:val>
        </c:ser>
        <c:ser>
          <c:idx val="1"/>
          <c:order val="1"/>
          <c:tx>
            <c:strRef>
              <c:f>Sheet1!$A$3</c:f>
              <c:strCache>
                <c:ptCount val="1"/>
                <c:pt idx="0">
                  <c:v>16</c:v>
                </c:pt>
              </c:strCache>
            </c:strRef>
          </c:tx>
          <c:spPr>
            <a:solidFill>
              <a:srgbClr val="993366"/>
            </a:solidFill>
            <a:ln w="12700">
              <a:solidFill>
                <a:srgbClr val="000000"/>
              </a:solidFill>
              <a:prstDash val="solid"/>
            </a:ln>
          </c:spPr>
          <c:dLbls>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Sheet1!$B$3:$K$3</c:f>
              <c:numCache>
                <c:formatCode>0%</c:formatCode>
                <c:ptCount val="10"/>
                <c:pt idx="1">
                  <c:v>0.16</c:v>
                </c:pt>
              </c:numCache>
            </c:numRef>
          </c:val>
        </c:ser>
        <c:ser>
          <c:idx val="2"/>
          <c:order val="2"/>
          <c:tx>
            <c:strRef>
              <c:f>Sheet1!$A$4</c:f>
              <c:strCache>
                <c:ptCount val="1"/>
                <c:pt idx="0">
                  <c:v>17</c:v>
                </c:pt>
              </c:strCache>
            </c:strRef>
          </c:tx>
          <c:spPr>
            <a:solidFill>
              <a:srgbClr val="FFFFCC"/>
            </a:solidFill>
            <a:ln w="12700">
              <a:solidFill>
                <a:srgbClr val="000000"/>
              </a:solidFill>
              <a:prstDash val="solid"/>
            </a:ln>
          </c:spPr>
          <c:dLbls>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Sheet1!$B$4:$K$4</c:f>
              <c:numCache>
                <c:formatCode>General</c:formatCode>
                <c:ptCount val="10"/>
                <c:pt idx="2" formatCode="0%">
                  <c:v>0.17</c:v>
                </c:pt>
              </c:numCache>
            </c:numRef>
          </c:val>
        </c:ser>
        <c:ser>
          <c:idx val="3"/>
          <c:order val="3"/>
          <c:tx>
            <c:strRef>
              <c:f>Sheet1!$A$5</c:f>
              <c:strCache>
                <c:ptCount val="1"/>
                <c:pt idx="0">
                  <c:v>18</c:v>
                </c:pt>
              </c:strCache>
            </c:strRef>
          </c:tx>
          <c:spPr>
            <a:solidFill>
              <a:srgbClr val="CCFFFF"/>
            </a:solidFill>
            <a:ln w="12700">
              <a:solidFill>
                <a:srgbClr val="000000"/>
              </a:solidFill>
              <a:prstDash val="solid"/>
            </a:ln>
          </c:spPr>
          <c:dLbls>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Sheet1!$B$5:$K$5</c:f>
              <c:numCache>
                <c:formatCode>General</c:formatCode>
                <c:ptCount val="10"/>
                <c:pt idx="3" formatCode="0%">
                  <c:v>0.18000000000000005</c:v>
                </c:pt>
              </c:numCache>
            </c:numRef>
          </c:val>
        </c:ser>
        <c:ser>
          <c:idx val="4"/>
          <c:order val="4"/>
          <c:tx>
            <c:strRef>
              <c:f>Sheet1!$A$6</c:f>
              <c:strCache>
                <c:ptCount val="1"/>
                <c:pt idx="0">
                  <c:v>19</c:v>
                </c:pt>
              </c:strCache>
            </c:strRef>
          </c:tx>
          <c:spPr>
            <a:solidFill>
              <a:srgbClr val="660066"/>
            </a:solidFill>
            <a:ln w="12700">
              <a:solidFill>
                <a:srgbClr val="000000"/>
              </a:solidFill>
              <a:prstDash val="solid"/>
            </a:ln>
          </c:spPr>
          <c:dLbls>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Sheet1!$B$6:$K$6</c:f>
              <c:numCache>
                <c:formatCode>General</c:formatCode>
                <c:ptCount val="10"/>
                <c:pt idx="4" formatCode="0%">
                  <c:v>0.15000000000000005</c:v>
                </c:pt>
              </c:numCache>
            </c:numRef>
          </c:val>
        </c:ser>
        <c:ser>
          <c:idx val="5"/>
          <c:order val="5"/>
          <c:tx>
            <c:strRef>
              <c:f>Sheet1!$A$7</c:f>
              <c:strCache>
                <c:ptCount val="1"/>
                <c:pt idx="0">
                  <c:v>20</c:v>
                </c:pt>
              </c:strCache>
            </c:strRef>
          </c:tx>
          <c:spPr>
            <a:solidFill>
              <a:srgbClr val="FF8080"/>
            </a:solidFill>
            <a:ln w="12700">
              <a:solidFill>
                <a:srgbClr val="000000"/>
              </a:solidFill>
              <a:prstDash val="solid"/>
            </a:ln>
          </c:spPr>
          <c:dLbls>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Sheet1!$B$7:$K$7</c:f>
              <c:numCache>
                <c:formatCode>General</c:formatCode>
                <c:ptCount val="10"/>
                <c:pt idx="5" formatCode="0%">
                  <c:v>0.13</c:v>
                </c:pt>
              </c:numCache>
            </c:numRef>
          </c:val>
        </c:ser>
        <c:ser>
          <c:idx val="6"/>
          <c:order val="6"/>
          <c:tx>
            <c:strRef>
              <c:f>Sheet1!$A$8</c:f>
              <c:strCache>
                <c:ptCount val="1"/>
                <c:pt idx="0">
                  <c:v>21</c:v>
                </c:pt>
              </c:strCache>
            </c:strRef>
          </c:tx>
          <c:spPr>
            <a:solidFill>
              <a:srgbClr val="0066CC"/>
            </a:solidFill>
            <a:ln w="12700">
              <a:solidFill>
                <a:srgbClr val="000000"/>
              </a:solidFill>
              <a:prstDash val="solid"/>
            </a:ln>
          </c:spPr>
          <c:dLbls>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Sheet1!$B$8:$K$8</c:f>
              <c:numCache>
                <c:formatCode>General</c:formatCode>
                <c:ptCount val="10"/>
                <c:pt idx="6" formatCode="0%">
                  <c:v>0.11</c:v>
                </c:pt>
              </c:numCache>
            </c:numRef>
          </c:val>
        </c:ser>
        <c:ser>
          <c:idx val="7"/>
          <c:order val="7"/>
          <c:tx>
            <c:strRef>
              <c:f>Sheet1!$A$9</c:f>
              <c:strCache>
                <c:ptCount val="1"/>
                <c:pt idx="0">
                  <c:v>22</c:v>
                </c:pt>
              </c:strCache>
            </c:strRef>
          </c:tx>
          <c:spPr>
            <a:solidFill>
              <a:srgbClr val="CCCCFF"/>
            </a:solidFill>
            <a:ln w="12700">
              <a:solidFill>
                <a:srgbClr val="000000"/>
              </a:solidFill>
              <a:prstDash val="solid"/>
            </a:ln>
          </c:spPr>
          <c:dLbls>
            <c:dLbl>
              <c:idx val="7"/>
              <c:layout>
                <c:manualLayout>
                  <c:x val="3.5134589465298312E-3"/>
                  <c:y val="-7.6602599958737777E-2"/>
                </c:manualLayout>
              </c:layout>
              <c:dLblPos val="outEnd"/>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Sheet1!$B$9:$K$9</c:f>
              <c:numCache>
                <c:formatCode>General</c:formatCode>
                <c:ptCount val="10"/>
                <c:pt idx="7" formatCode="0%">
                  <c:v>3.0000000000000002E-2</c:v>
                </c:pt>
              </c:numCache>
            </c:numRef>
          </c:val>
        </c:ser>
        <c:ser>
          <c:idx val="8"/>
          <c:order val="8"/>
          <c:tx>
            <c:strRef>
              <c:f>Sheet1!$A$10</c:f>
              <c:strCache>
                <c:ptCount val="1"/>
                <c:pt idx="0">
                  <c:v>23</c:v>
                </c:pt>
              </c:strCache>
            </c:strRef>
          </c:tx>
          <c:spPr>
            <a:solidFill>
              <a:srgbClr val="000080"/>
            </a:solidFill>
            <a:ln w="12700">
              <a:solidFill>
                <a:srgbClr val="000000"/>
              </a:solidFill>
              <a:prstDash val="solid"/>
            </a:ln>
          </c:spPr>
          <c:dLbls>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Sheet1!$B$10:$K$10</c:f>
              <c:numCache>
                <c:formatCode>General</c:formatCode>
                <c:ptCount val="10"/>
                <c:pt idx="8" formatCode="0%">
                  <c:v>1.0000000000000004E-2</c:v>
                </c:pt>
              </c:numCache>
            </c:numRef>
          </c:val>
        </c:ser>
        <c:ser>
          <c:idx val="9"/>
          <c:order val="9"/>
          <c:tx>
            <c:strRef>
              <c:f>Sheet1!$A$11</c:f>
              <c:strCache>
                <c:ptCount val="1"/>
                <c:pt idx="0">
                  <c:v>24</c:v>
                </c:pt>
              </c:strCache>
            </c:strRef>
          </c:tx>
          <c:spPr>
            <a:solidFill>
              <a:srgbClr val="FF00FF"/>
            </a:solidFill>
            <a:ln w="12700">
              <a:solidFill>
                <a:srgbClr val="000000"/>
              </a:solidFill>
              <a:prstDash val="solid"/>
            </a:ln>
          </c:spPr>
          <c:dLbls>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Sheet1!$B$1:$K$1</c:f>
              <c:numCache>
                <c:formatCode>General</c:formatCode>
                <c:ptCount val="10"/>
              </c:numCache>
            </c:numRef>
          </c:cat>
          <c:val>
            <c:numRef>
              <c:f>Sheet1!$B$11:$K$11</c:f>
              <c:numCache>
                <c:formatCode>General</c:formatCode>
                <c:ptCount val="10"/>
                <c:pt idx="9" formatCode="0%">
                  <c:v>1.0000000000000004E-2</c:v>
                </c:pt>
              </c:numCache>
            </c:numRef>
          </c:val>
        </c:ser>
        <c:dLbls>
          <c:showVal val="1"/>
        </c:dLbls>
        <c:gapWidth val="40"/>
        <c:overlap val="100"/>
        <c:axId val="93239168"/>
        <c:axId val="93240704"/>
      </c:barChart>
      <c:catAx>
        <c:axId val="93239168"/>
        <c:scaling>
          <c:orientation val="minMax"/>
        </c:scaling>
        <c:axPos val="b"/>
        <c:numFmt formatCode="General" sourceLinked="1"/>
        <c:tickLblPos val="nextTo"/>
        <c:spPr>
          <a:ln w="3175">
            <a:solidFill>
              <a:srgbClr val="000000"/>
            </a:solidFill>
            <a:prstDash val="solid"/>
          </a:ln>
        </c:spPr>
        <c:txPr>
          <a:bodyPr rot="0" vert="horz"/>
          <a:lstStyle/>
          <a:p>
            <a:pPr>
              <a:defRPr sz="1025" b="1" i="0" u="none" strike="noStrike" baseline="0">
                <a:solidFill>
                  <a:srgbClr val="000000"/>
                </a:solidFill>
                <a:latin typeface="Calibri"/>
                <a:ea typeface="Calibri"/>
                <a:cs typeface="Calibri"/>
              </a:defRPr>
            </a:pPr>
            <a:endParaRPr lang="pt-BR"/>
          </a:p>
        </c:txPr>
        <c:crossAx val="93240704"/>
        <c:crosses val="autoZero"/>
        <c:auto val="1"/>
        <c:lblAlgn val="ctr"/>
        <c:lblOffset val="100"/>
        <c:tickLblSkip val="1"/>
        <c:tickMarkSkip val="1"/>
      </c:catAx>
      <c:valAx>
        <c:axId val="93240704"/>
        <c:scaling>
          <c:orientation val="minMax"/>
        </c:scaling>
        <c:delete val="1"/>
        <c:axPos val="l"/>
        <c:majorGridlines>
          <c:spPr>
            <a:ln w="3175">
              <a:solidFill>
                <a:srgbClr val="000000"/>
              </a:solidFill>
              <a:prstDash val="solid"/>
            </a:ln>
          </c:spPr>
        </c:majorGridlines>
        <c:numFmt formatCode="0%" sourceLinked="1"/>
        <c:tickLblPos val="nextTo"/>
        <c:crossAx val="93239168"/>
        <c:crosses val="autoZero"/>
        <c:crossBetween val="between"/>
      </c:valAx>
      <c:spPr>
        <a:noFill/>
        <a:ln w="12700">
          <a:solidFill>
            <a:srgbClr val="FFFFFF"/>
          </a:solidFill>
          <a:prstDash val="solid"/>
        </a:ln>
      </c:spPr>
    </c:plotArea>
    <c:legend>
      <c:legendPos val="b"/>
      <c:layout>
        <c:manualLayout>
          <c:xMode val="edge"/>
          <c:yMode val="edge"/>
          <c:x val="0.15176715176715189"/>
          <c:y val="0.88034188034188054"/>
          <c:w val="0.69646569646569678"/>
          <c:h val="0.10683760683760683"/>
        </c:manualLayout>
      </c:layout>
      <c:spPr>
        <a:solidFill>
          <a:srgbClr val="FFFFFF"/>
        </a:solidFill>
        <a:ln w="3175">
          <a:solidFill>
            <a:srgbClr val="000000"/>
          </a:solidFill>
          <a:prstDash val="solid"/>
        </a:ln>
      </c:spPr>
      <c:txPr>
        <a:bodyPr/>
        <a:lstStyle/>
        <a:p>
          <a:pPr>
            <a:defRPr sz="94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hPercent val="45"/>
      <c:depthPercent val="100"/>
      <c:rAngAx val="1"/>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manualLayout>
          <c:layoutTarget val="inner"/>
          <c:xMode val="edge"/>
          <c:yMode val="edge"/>
          <c:x val="5.8212058212058222E-2"/>
          <c:y val="2.1367521367521368E-2"/>
          <c:w val="0.92931392931392909"/>
          <c:h val="0.44444444444444442"/>
        </c:manualLayout>
      </c:layout>
      <c:bar3DChart>
        <c:barDir val="col"/>
        <c:grouping val="clustered"/>
        <c:ser>
          <c:idx val="0"/>
          <c:order val="0"/>
          <c:tx>
            <c:strRef>
              <c:f>Sheet1!$A$2</c:f>
              <c:strCache>
                <c:ptCount val="1"/>
                <c:pt idx="0">
                  <c:v>Ensino Fundamental</c:v>
                </c:pt>
              </c:strCache>
            </c:strRef>
          </c:tx>
          <c:spPr>
            <a:solidFill>
              <a:srgbClr val="9999FF"/>
            </a:solidFill>
            <a:ln w="12700">
              <a:solidFill>
                <a:srgbClr val="000000"/>
              </a:solidFill>
              <a:prstDash val="solid"/>
            </a:ln>
          </c:spPr>
          <c:dLbls>
            <c:dLbl>
              <c:idx val="0"/>
              <c:layout>
                <c:manualLayout>
                  <c:xMode val="edge"/>
                  <c:yMode val="edge"/>
                  <c:x val="0.27442827442827455"/>
                  <c:y val="3.4188034188034191E-2"/>
                </c:manualLayout>
              </c:layout>
              <c:showVal val="1"/>
            </c:dLbl>
            <c:dLbl>
              <c:idx val="1"/>
              <c:layout>
                <c:manualLayout>
                  <c:xMode val="edge"/>
                  <c:yMode val="edge"/>
                  <c:x val="0.32016632016632018"/>
                  <c:y val="0.30341880341880362"/>
                </c:manualLayout>
              </c:layout>
              <c:showVal val="1"/>
            </c:dLbl>
            <c:dLbl>
              <c:idx val="2"/>
              <c:layout>
                <c:manualLayout>
                  <c:xMode val="edge"/>
                  <c:yMode val="edge"/>
                  <c:x val="0.35550935550935558"/>
                  <c:y val="0.28632478632478653"/>
                </c:manualLayout>
              </c:layout>
              <c:showVal val="1"/>
            </c:dLbl>
            <c:dLbl>
              <c:idx val="3"/>
              <c:layout>
                <c:manualLayout>
                  <c:xMode val="edge"/>
                  <c:yMode val="edge"/>
                  <c:x val="0.39085239085239104"/>
                  <c:y val="0.23504273504273512"/>
                </c:manualLayout>
              </c:layout>
              <c:showVal val="1"/>
            </c:dLbl>
            <c:dLbl>
              <c:idx val="4"/>
              <c:layout>
                <c:manualLayout>
                  <c:xMode val="edge"/>
                  <c:yMode val="edge"/>
                  <c:x val="0.42827442827442841"/>
                  <c:y val="0.25213675213675213"/>
                </c:manualLayout>
              </c:layout>
              <c:showVal val="1"/>
            </c:dLbl>
            <c:dLbl>
              <c:idx val="5"/>
              <c:layout>
                <c:manualLayout>
                  <c:xMode val="edge"/>
                  <c:yMode val="edge"/>
                  <c:x val="0.46153846153846168"/>
                  <c:y val="0.14529914529914537"/>
                </c:manualLayout>
              </c:layout>
              <c:showVal val="1"/>
            </c:dLbl>
            <c:dLbl>
              <c:idx val="6"/>
              <c:layout>
                <c:manualLayout>
                  <c:xMode val="edge"/>
                  <c:yMode val="edge"/>
                  <c:x val="0.49896049896049921"/>
                  <c:y val="0.21367521367521369"/>
                </c:manualLayout>
              </c:layout>
              <c:showVal val="1"/>
            </c:dLbl>
            <c:dLbl>
              <c:idx val="7"/>
              <c:layout>
                <c:manualLayout>
                  <c:xMode val="edge"/>
                  <c:yMode val="edge"/>
                  <c:x val="0.53222453222453259"/>
                  <c:y val="0.11965811965811966"/>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strRef>
              <c:f>Sheet1!$B$1:$N$1</c:f>
              <c:strCache>
                <c:ptCount val="13"/>
                <c:pt idx="0">
                  <c:v>3º ano E.F</c:v>
                </c:pt>
                <c:pt idx="1">
                  <c:v>4º ano E.F</c:v>
                </c:pt>
                <c:pt idx="2">
                  <c:v>5º ano E.F</c:v>
                </c:pt>
                <c:pt idx="3">
                  <c:v>6º ano E.F</c:v>
                </c:pt>
                <c:pt idx="4">
                  <c:v>7º ano E.F</c:v>
                </c:pt>
                <c:pt idx="5">
                  <c:v>8º ano E.F</c:v>
                </c:pt>
                <c:pt idx="6">
                  <c:v>9º ano E.F</c:v>
                </c:pt>
                <c:pt idx="7">
                  <c:v>Supletivo/Projovem</c:v>
                </c:pt>
                <c:pt idx="8">
                  <c:v>E.F. concluído</c:v>
                </c:pt>
                <c:pt idx="9">
                  <c:v>1º ano E.M</c:v>
                </c:pt>
                <c:pt idx="10">
                  <c:v>2º ano E.M</c:v>
                </c:pt>
                <c:pt idx="11">
                  <c:v>3º ano E.M</c:v>
                </c:pt>
                <c:pt idx="12">
                  <c:v>E.M. concluído</c:v>
                </c:pt>
              </c:strCache>
            </c:strRef>
          </c:cat>
          <c:val>
            <c:numRef>
              <c:f>Sheet1!$B$2:$N$2</c:f>
              <c:numCache>
                <c:formatCode>0%</c:formatCode>
                <c:ptCount val="13"/>
                <c:pt idx="0">
                  <c:v>0.12000000000000002</c:v>
                </c:pt>
                <c:pt idx="1">
                  <c:v>2.0000000000000007E-2</c:v>
                </c:pt>
                <c:pt idx="2">
                  <c:v>3.0000000000000002E-2</c:v>
                </c:pt>
                <c:pt idx="3">
                  <c:v>0.05</c:v>
                </c:pt>
                <c:pt idx="4">
                  <c:v>4.0000000000000015E-2</c:v>
                </c:pt>
                <c:pt idx="5">
                  <c:v>8.0000000000000029E-2</c:v>
                </c:pt>
                <c:pt idx="6">
                  <c:v>0.05</c:v>
                </c:pt>
                <c:pt idx="7">
                  <c:v>9.0000000000000024E-2</c:v>
                </c:pt>
              </c:numCache>
            </c:numRef>
          </c:val>
        </c:ser>
        <c:ser>
          <c:idx val="1"/>
          <c:order val="1"/>
          <c:tx>
            <c:strRef>
              <c:f>Sheet1!$A$3</c:f>
              <c:strCache>
                <c:ptCount val="1"/>
                <c:pt idx="0">
                  <c:v>Ensino Médio</c:v>
                </c:pt>
              </c:strCache>
            </c:strRef>
          </c:tx>
          <c:spPr>
            <a:solidFill>
              <a:srgbClr val="993366"/>
            </a:solidFill>
            <a:ln w="12700">
              <a:solidFill>
                <a:srgbClr val="000000"/>
              </a:solidFill>
              <a:prstDash val="solid"/>
            </a:ln>
          </c:spPr>
          <c:dLbls>
            <c:dLbl>
              <c:idx val="8"/>
              <c:layout>
                <c:manualLayout>
                  <c:xMode val="edge"/>
                  <c:yMode val="edge"/>
                  <c:x val="0.57172557172557192"/>
                  <c:y val="0"/>
                </c:manualLayout>
              </c:layout>
              <c:showVal val="1"/>
            </c:dLbl>
            <c:dLbl>
              <c:idx val="9"/>
              <c:layout>
                <c:manualLayout>
                  <c:xMode val="edge"/>
                  <c:yMode val="edge"/>
                  <c:x val="0.60706860706860732"/>
                  <c:y val="8.5470085470085472E-2"/>
                </c:manualLayout>
              </c:layout>
              <c:showVal val="1"/>
            </c:dLbl>
            <c:dLbl>
              <c:idx val="10"/>
              <c:layout>
                <c:manualLayout>
                  <c:xMode val="edge"/>
                  <c:yMode val="edge"/>
                  <c:x val="0.64864864864864913"/>
                  <c:y val="0.13675213675213688"/>
                </c:manualLayout>
              </c:layout>
              <c:showVal val="1"/>
            </c:dLbl>
            <c:dLbl>
              <c:idx val="11"/>
              <c:layout>
                <c:manualLayout>
                  <c:xMode val="edge"/>
                  <c:yMode val="edge"/>
                  <c:x val="0.68814968814968835"/>
                  <c:y val="0.17948717948717957"/>
                </c:manualLayout>
              </c:layout>
              <c:showVal val="1"/>
            </c:dLbl>
            <c:dLbl>
              <c:idx val="12"/>
              <c:layout>
                <c:manualLayout>
                  <c:xMode val="edge"/>
                  <c:yMode val="edge"/>
                  <c:x val="0.7484407484407487"/>
                  <c:y val="4.2735042735042739E-3"/>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strRef>
              <c:f>Sheet1!$B$1:$N$1</c:f>
              <c:strCache>
                <c:ptCount val="13"/>
                <c:pt idx="0">
                  <c:v>3º ano E.F</c:v>
                </c:pt>
                <c:pt idx="1">
                  <c:v>4º ano E.F</c:v>
                </c:pt>
                <c:pt idx="2">
                  <c:v>5º ano E.F</c:v>
                </c:pt>
                <c:pt idx="3">
                  <c:v>6º ano E.F</c:v>
                </c:pt>
                <c:pt idx="4">
                  <c:v>7º ano E.F</c:v>
                </c:pt>
                <c:pt idx="5">
                  <c:v>8º ano E.F</c:v>
                </c:pt>
                <c:pt idx="6">
                  <c:v>9º ano E.F</c:v>
                </c:pt>
                <c:pt idx="7">
                  <c:v>Supletivo/Projovem</c:v>
                </c:pt>
                <c:pt idx="8">
                  <c:v>E.F. concluído</c:v>
                </c:pt>
                <c:pt idx="9">
                  <c:v>1º ano E.M</c:v>
                </c:pt>
                <c:pt idx="10">
                  <c:v>2º ano E.M</c:v>
                </c:pt>
                <c:pt idx="11">
                  <c:v>3º ano E.M</c:v>
                </c:pt>
                <c:pt idx="12">
                  <c:v>E.M. concluído</c:v>
                </c:pt>
              </c:strCache>
            </c:strRef>
          </c:cat>
          <c:val>
            <c:numRef>
              <c:f>Sheet1!$B$3:$N$3</c:f>
              <c:numCache>
                <c:formatCode>General</c:formatCode>
                <c:ptCount val="13"/>
                <c:pt idx="8" formatCode="0%">
                  <c:v>0.13</c:v>
                </c:pt>
                <c:pt idx="9" formatCode="0%">
                  <c:v>0.1</c:v>
                </c:pt>
                <c:pt idx="10" formatCode="0%">
                  <c:v>8.0000000000000029E-2</c:v>
                </c:pt>
                <c:pt idx="11" formatCode="0%">
                  <c:v>6.0000000000000019E-2</c:v>
                </c:pt>
                <c:pt idx="12" formatCode="0%">
                  <c:v>0.15000000000000005</c:v>
                </c:pt>
              </c:numCache>
            </c:numRef>
          </c:val>
        </c:ser>
        <c:dLbls>
          <c:showVal val="1"/>
        </c:dLbls>
        <c:gapDepth val="0"/>
        <c:shape val="box"/>
        <c:axId val="96428800"/>
        <c:axId val="96430336"/>
        <c:axId val="0"/>
      </c:bar3DChart>
      <c:catAx>
        <c:axId val="96428800"/>
        <c:scaling>
          <c:orientation val="minMax"/>
        </c:scaling>
        <c:axPos val="b"/>
        <c:numFmt formatCode="General" sourceLinked="1"/>
        <c:tickLblPos val="low"/>
        <c:spPr>
          <a:ln w="3175">
            <a:solidFill>
              <a:srgbClr val="000000"/>
            </a:solidFill>
            <a:prstDash val="solid"/>
          </a:ln>
        </c:spPr>
        <c:txPr>
          <a:bodyPr rot="-5340000" vert="horz"/>
          <a:lstStyle/>
          <a:p>
            <a:pPr>
              <a:defRPr sz="925" b="1" i="0" u="none" strike="noStrike" baseline="0">
                <a:solidFill>
                  <a:srgbClr val="000000"/>
                </a:solidFill>
                <a:latin typeface="Calibri"/>
                <a:ea typeface="Calibri"/>
                <a:cs typeface="Calibri"/>
              </a:defRPr>
            </a:pPr>
            <a:endParaRPr lang="pt-BR"/>
          </a:p>
        </c:txPr>
        <c:crossAx val="96430336"/>
        <c:crosses val="autoZero"/>
        <c:auto val="1"/>
        <c:lblAlgn val="ctr"/>
        <c:lblOffset val="100"/>
        <c:tickLblSkip val="1"/>
        <c:tickMarkSkip val="1"/>
      </c:catAx>
      <c:valAx>
        <c:axId val="96430336"/>
        <c:scaling>
          <c:orientation val="minMax"/>
        </c:scaling>
        <c:delete val="1"/>
        <c:axPos val="l"/>
        <c:majorGridlines>
          <c:spPr>
            <a:ln w="3175">
              <a:solidFill>
                <a:srgbClr val="000000"/>
              </a:solidFill>
              <a:prstDash val="solid"/>
            </a:ln>
          </c:spPr>
        </c:majorGridlines>
        <c:title>
          <c:tx>
            <c:rich>
              <a:bodyPr rot="0" vert="horz"/>
              <a:lstStyle/>
              <a:p>
                <a:pPr algn="ctr">
                  <a:defRPr sz="1200" b="1" i="0" u="none" strike="noStrike" baseline="0">
                    <a:solidFill>
                      <a:srgbClr val="000000"/>
                    </a:solidFill>
                    <a:latin typeface="Calibri"/>
                    <a:ea typeface="Calibri"/>
                    <a:cs typeface="Calibri"/>
                  </a:defRPr>
                </a:pPr>
                <a:r>
                  <a:t>Ano de estudo</a:t>
                </a:r>
              </a:p>
            </c:rich>
          </c:tx>
          <c:layout>
            <c:manualLayout>
              <c:xMode val="edge"/>
              <c:yMode val="edge"/>
              <c:x val="0.38461538461538475"/>
              <c:y val="0.65811965811965834"/>
            </c:manualLayout>
          </c:layout>
          <c:spPr>
            <a:noFill/>
            <a:ln w="25400">
              <a:noFill/>
            </a:ln>
          </c:spPr>
        </c:title>
        <c:numFmt formatCode="0%" sourceLinked="1"/>
        <c:tickLblPos val="nextTo"/>
        <c:crossAx val="96428800"/>
        <c:crosses val="autoZero"/>
        <c:crossBetween val="between"/>
      </c:valAx>
      <c:spPr>
        <a:noFill/>
        <a:ln w="25400">
          <a:noFill/>
        </a:ln>
      </c:spPr>
    </c:plotArea>
    <c:legend>
      <c:legendPos val="r"/>
      <c:layout>
        <c:manualLayout>
          <c:xMode val="edge"/>
          <c:yMode val="edge"/>
          <c:x val="0.21413721413721423"/>
          <c:y val="0.90598290598290554"/>
          <c:w val="0.61330561330561373"/>
          <c:h val="8.974358974358973E-2"/>
        </c:manualLayout>
      </c:layout>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manualLayout>
          <c:layoutTarget val="inner"/>
          <c:xMode val="edge"/>
          <c:yMode val="edge"/>
          <c:x val="0.26141078838174292"/>
          <c:y val="1.4354066985645928E-2"/>
          <c:w val="0.57468879668049833"/>
          <c:h val="0.84210526315789491"/>
        </c:manualLayout>
      </c:layout>
      <c:bar3DChart>
        <c:barDir val="col"/>
        <c:grouping val="clustered"/>
        <c:ser>
          <c:idx val="0"/>
          <c:order val="0"/>
          <c:tx>
            <c:strRef>
              <c:f>Sheet1!$A$2</c:f>
              <c:strCache>
                <c:ptCount val="1"/>
                <c:pt idx="0">
                  <c:v>Concluíntes</c:v>
                </c:pt>
              </c:strCache>
            </c:strRef>
          </c:tx>
          <c:spPr>
            <a:solidFill>
              <a:srgbClr val="9999FF"/>
            </a:solidFill>
            <a:ln w="12700">
              <a:solidFill>
                <a:srgbClr val="000000"/>
              </a:solidFill>
              <a:prstDash val="solid"/>
            </a:ln>
          </c:spPr>
          <c:dLbls>
            <c:dLbl>
              <c:idx val="0"/>
              <c:layout>
                <c:manualLayout>
                  <c:x val="5.4353115782000513E-2"/>
                  <c:y val="1.0706496453294364E-18"/>
                </c:manualLayout>
              </c:layout>
              <c:showVal val="1"/>
            </c:dLbl>
            <c:spPr>
              <a:noFill/>
              <a:ln w="25400">
                <a:noFill/>
              </a:ln>
            </c:spPr>
            <c:txPr>
              <a:bodyPr/>
              <a:lstStyle/>
              <a:p>
                <a:pPr>
                  <a:defRPr sz="85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Sheet1!$B$2:$E$2</c:f>
              <c:numCache>
                <c:formatCode>General</c:formatCode>
                <c:ptCount val="4"/>
                <c:pt idx="0">
                  <c:v>91</c:v>
                </c:pt>
              </c:numCache>
            </c:numRef>
          </c:val>
        </c:ser>
        <c:ser>
          <c:idx val="1"/>
          <c:order val="1"/>
          <c:tx>
            <c:strRef>
              <c:f>Sheet1!$A$3</c:f>
              <c:strCache>
                <c:ptCount val="1"/>
                <c:pt idx="0">
                  <c:v>Inseridos</c:v>
                </c:pt>
              </c:strCache>
            </c:strRef>
          </c:tx>
          <c:spPr>
            <a:solidFill>
              <a:srgbClr val="993366"/>
            </a:solidFill>
            <a:ln w="12700">
              <a:solidFill>
                <a:srgbClr val="000000"/>
              </a:solidFill>
              <a:prstDash val="solid"/>
            </a:ln>
          </c:spPr>
          <c:dLbls>
            <c:dLbl>
              <c:idx val="1"/>
              <c:layout>
                <c:manualLayout>
                  <c:x val="4.9542438742210135E-2"/>
                  <c:y val="-2.8722460685401203E-2"/>
                </c:manualLayout>
              </c:layout>
              <c:showVal val="1"/>
            </c:dLbl>
            <c:spPr>
              <a:noFill/>
              <a:ln w="25400">
                <a:noFill/>
              </a:ln>
            </c:spPr>
            <c:txPr>
              <a:bodyPr/>
              <a:lstStyle/>
              <a:p>
                <a:pPr>
                  <a:defRPr sz="85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Sheet1!$B$3:$E$3</c:f>
              <c:numCache>
                <c:formatCode>General</c:formatCode>
                <c:ptCount val="4"/>
                <c:pt idx="1">
                  <c:v>64</c:v>
                </c:pt>
              </c:numCache>
            </c:numRef>
          </c:val>
          <c:shape val="cylinder"/>
        </c:ser>
        <c:ser>
          <c:idx val="2"/>
          <c:order val="2"/>
          <c:tx>
            <c:strRef>
              <c:f>Sheet1!$A$4</c:f>
              <c:strCache>
                <c:ptCount val="1"/>
                <c:pt idx="0">
                  <c:v>Em processo</c:v>
                </c:pt>
              </c:strCache>
            </c:strRef>
          </c:tx>
          <c:spPr>
            <a:solidFill>
              <a:srgbClr val="008080"/>
            </a:solidFill>
            <a:ln w="12700">
              <a:solidFill>
                <a:srgbClr val="000000"/>
              </a:solidFill>
              <a:prstDash val="solid"/>
            </a:ln>
          </c:spPr>
          <c:dLbls>
            <c:dLbl>
              <c:idx val="2"/>
              <c:layout>
                <c:manualLayout>
                  <c:x val="4.4687254081288208E-2"/>
                  <c:y val="-1.3469310961547557E-2"/>
                </c:manualLayout>
              </c:layout>
              <c:showVal val="1"/>
            </c:dLbl>
            <c:spPr>
              <a:noFill/>
              <a:ln w="25400">
                <a:noFill/>
              </a:ln>
            </c:spPr>
            <c:txPr>
              <a:bodyPr/>
              <a:lstStyle/>
              <a:p>
                <a:pPr>
                  <a:defRPr sz="85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Sheet1!$B$4:$E$4</c:f>
              <c:numCache>
                <c:formatCode>General</c:formatCode>
                <c:ptCount val="4"/>
                <c:pt idx="2">
                  <c:v>27</c:v>
                </c:pt>
              </c:numCache>
            </c:numRef>
          </c:val>
        </c:ser>
        <c:dLbls>
          <c:showVal val="1"/>
        </c:dLbls>
        <c:gapWidth val="0"/>
        <c:gapDepth val="10"/>
        <c:shape val="box"/>
        <c:axId val="77476992"/>
        <c:axId val="77478528"/>
        <c:axId val="0"/>
      </c:bar3DChart>
      <c:catAx>
        <c:axId val="77476992"/>
        <c:scaling>
          <c:orientation val="minMax"/>
        </c:scaling>
        <c:delete val="1"/>
        <c:axPos val="b"/>
        <c:numFmt formatCode="General" sourceLinked="1"/>
        <c:tickLblPos val="nextTo"/>
        <c:crossAx val="77478528"/>
        <c:crosses val="autoZero"/>
        <c:auto val="1"/>
        <c:lblAlgn val="ctr"/>
        <c:lblOffset val="100"/>
        <c:noMultiLvlLbl val="1"/>
      </c:catAx>
      <c:valAx>
        <c:axId val="77478528"/>
        <c:scaling>
          <c:orientation val="minMax"/>
        </c:scaling>
        <c:delete val="1"/>
        <c:axPos val="l"/>
        <c:majorGridlines>
          <c:spPr>
            <a:ln w="3175">
              <a:solidFill>
                <a:srgbClr val="000000"/>
              </a:solidFill>
              <a:prstDash val="solid"/>
            </a:ln>
          </c:spPr>
        </c:majorGridlines>
        <c:numFmt formatCode="General" sourceLinked="1"/>
        <c:tickLblPos val="nextTo"/>
        <c:crossAx val="77476992"/>
        <c:crosses val="autoZero"/>
        <c:crossBetween val="between"/>
      </c:valAx>
      <c:spPr>
        <a:noFill/>
        <a:ln w="25400">
          <a:noFill/>
        </a:ln>
      </c:spPr>
    </c:plotArea>
    <c:legend>
      <c:legendPos val="r"/>
      <c:layout>
        <c:manualLayout>
          <c:xMode val="edge"/>
          <c:yMode val="edge"/>
          <c:x val="0.27178423236514532"/>
          <c:y val="0.87081339712918693"/>
          <c:w val="0.45228215767634855"/>
          <c:h val="0.11004784688995213"/>
        </c:manualLayout>
      </c:layout>
      <c:spPr>
        <a:noFill/>
        <a:ln w="3175">
          <a:solidFill>
            <a:srgbClr val="000000"/>
          </a:solidFill>
          <a:prstDash val="solid"/>
        </a:ln>
      </c:spPr>
      <c:txPr>
        <a:bodyPr/>
        <a:lstStyle/>
        <a:p>
          <a:pPr>
            <a:defRPr sz="85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925" b="1" i="0" u="none" strike="noStrike" baseline="0">
          <a:solidFill>
            <a:srgbClr val="000000"/>
          </a:solidFill>
          <a:latin typeface="Calibri"/>
          <a:ea typeface="Calibri"/>
          <a:cs typeface="Calibri"/>
        </a:defRPr>
      </a:pPr>
      <a:endParaRPr lang="pt-BR"/>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manualLayout>
          <c:layoutTarget val="inner"/>
          <c:xMode val="edge"/>
          <c:yMode val="edge"/>
          <c:x val="1.8672199170124481E-2"/>
          <c:y val="3.8461538461538464E-2"/>
          <c:w val="0.94813278008298729"/>
          <c:h val="0.75641025641025661"/>
        </c:manualLayout>
      </c:layout>
      <c:bar3DChart>
        <c:barDir val="col"/>
        <c:grouping val="clustered"/>
        <c:ser>
          <c:idx val="0"/>
          <c:order val="0"/>
          <c:tx>
            <c:strRef>
              <c:f>Sheet1!$A$2</c:f>
              <c:strCache>
                <c:ptCount val="1"/>
                <c:pt idx="0">
                  <c:v>16 anos</c:v>
                </c:pt>
              </c:strCache>
            </c:strRef>
          </c:tx>
          <c:spPr>
            <a:solidFill>
              <a:srgbClr val="9999FF"/>
            </a:solidFill>
            <a:ln w="12700">
              <a:solidFill>
                <a:srgbClr val="000000"/>
              </a:solidFill>
              <a:prstDash val="solid"/>
            </a:ln>
          </c:spPr>
          <c:dLbls>
            <c:dLbl>
              <c:idx val="0"/>
              <c:layout>
                <c:manualLayout>
                  <c:x val="4.2161562488627867E-2"/>
                  <c:y val="6.095240616991196E-3"/>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Sheet1!$B$2:$E$2</c:f>
              <c:numCache>
                <c:formatCode>General</c:formatCode>
                <c:ptCount val="4"/>
                <c:pt idx="0" formatCode="0%">
                  <c:v>2.0000000000000007E-2</c:v>
                </c:pt>
              </c:numCache>
            </c:numRef>
          </c:val>
        </c:ser>
        <c:ser>
          <c:idx val="1"/>
          <c:order val="1"/>
          <c:tx>
            <c:strRef>
              <c:f>Sheet1!$A$3</c:f>
              <c:strCache>
                <c:ptCount val="1"/>
                <c:pt idx="0">
                  <c:v>Até 18 anos</c:v>
                </c:pt>
              </c:strCache>
            </c:strRef>
          </c:tx>
          <c:spPr>
            <a:solidFill>
              <a:srgbClr val="993366"/>
            </a:solidFill>
            <a:ln w="12700">
              <a:solidFill>
                <a:srgbClr val="000000"/>
              </a:solidFill>
              <a:prstDash val="solid"/>
            </a:ln>
          </c:spPr>
          <c:dLbls>
            <c:dLbl>
              <c:idx val="1"/>
              <c:layout>
                <c:manualLayout>
                  <c:x val="4.0886457859906494E-2"/>
                  <c:y val="1.5891809236329768E-2"/>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Sheet1!$B$3:$E$3</c:f>
              <c:numCache>
                <c:formatCode>0%</c:formatCode>
                <c:ptCount val="4"/>
                <c:pt idx="1">
                  <c:v>0.24000000000000005</c:v>
                </c:pt>
              </c:numCache>
            </c:numRef>
          </c:val>
        </c:ser>
        <c:ser>
          <c:idx val="2"/>
          <c:order val="2"/>
          <c:tx>
            <c:strRef>
              <c:f>Sheet1!$A$4</c:f>
              <c:strCache>
                <c:ptCount val="1"/>
                <c:pt idx="0">
                  <c:v>Até 21 anos</c:v>
                </c:pt>
              </c:strCache>
            </c:strRef>
          </c:tx>
          <c:spPr>
            <a:solidFill>
              <a:srgbClr val="FFFFCC"/>
            </a:solidFill>
            <a:ln w="12700">
              <a:solidFill>
                <a:srgbClr val="000000"/>
              </a:solidFill>
              <a:prstDash val="solid"/>
            </a:ln>
          </c:spPr>
          <c:dLbls>
            <c:dLbl>
              <c:idx val="2"/>
              <c:layout>
                <c:manualLayout>
                  <c:x val="3.6681798617901273E-2"/>
                  <c:y val="-5.5841522331776623E-3"/>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Sheet1!$B$4:$E$4</c:f>
              <c:numCache>
                <c:formatCode>General</c:formatCode>
                <c:ptCount val="4"/>
                <c:pt idx="2" formatCode="0%">
                  <c:v>0.41000000000000009</c:v>
                </c:pt>
              </c:numCache>
            </c:numRef>
          </c:val>
        </c:ser>
        <c:ser>
          <c:idx val="3"/>
          <c:order val="3"/>
          <c:tx>
            <c:strRef>
              <c:f>Sheet1!$A$5</c:f>
              <c:strCache>
                <c:ptCount val="1"/>
                <c:pt idx="0">
                  <c:v>Até 26 anos</c:v>
                </c:pt>
              </c:strCache>
            </c:strRef>
          </c:tx>
          <c:spPr>
            <a:solidFill>
              <a:srgbClr val="CCFFFF"/>
            </a:solidFill>
            <a:ln w="12700">
              <a:solidFill>
                <a:srgbClr val="000000"/>
              </a:solidFill>
              <a:prstDash val="solid"/>
            </a:ln>
          </c:spPr>
          <c:dLbls>
            <c:dLbl>
              <c:idx val="3"/>
              <c:layout>
                <c:manualLayout>
                  <c:x val="3.4512351399856103E-2"/>
                  <c:y val="-2.3391464465424025E-4"/>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Sheet1!$B$5:$E$5</c:f>
              <c:numCache>
                <c:formatCode>General</c:formatCode>
                <c:ptCount val="4"/>
                <c:pt idx="3" formatCode="0%">
                  <c:v>0.33000000000000013</c:v>
                </c:pt>
              </c:numCache>
            </c:numRef>
          </c:val>
        </c:ser>
        <c:dLbls>
          <c:showVal val="1"/>
        </c:dLbls>
        <c:gapWidth val="0"/>
        <c:gapDepth val="10"/>
        <c:shape val="box"/>
        <c:axId val="96876800"/>
        <c:axId val="96890880"/>
        <c:axId val="0"/>
      </c:bar3DChart>
      <c:catAx>
        <c:axId val="96876800"/>
        <c:scaling>
          <c:orientation val="minMax"/>
        </c:scaling>
        <c:delete val="1"/>
        <c:axPos val="b"/>
        <c:numFmt formatCode="General" sourceLinked="1"/>
        <c:tickLblPos val="nextTo"/>
        <c:crossAx val="96890880"/>
        <c:crosses val="autoZero"/>
        <c:auto val="1"/>
        <c:lblAlgn val="ctr"/>
        <c:lblOffset val="100"/>
        <c:noMultiLvlLbl val="1"/>
      </c:catAx>
      <c:valAx>
        <c:axId val="96890880"/>
        <c:scaling>
          <c:orientation val="minMax"/>
        </c:scaling>
        <c:delete val="1"/>
        <c:axPos val="l"/>
        <c:majorGridlines>
          <c:spPr>
            <a:ln w="3175">
              <a:solidFill>
                <a:srgbClr val="000000"/>
              </a:solidFill>
              <a:prstDash val="solid"/>
            </a:ln>
          </c:spPr>
        </c:majorGridlines>
        <c:numFmt formatCode="0%" sourceLinked="1"/>
        <c:tickLblPos val="nextTo"/>
        <c:crossAx val="96876800"/>
        <c:crosses val="autoZero"/>
        <c:crossBetween val="between"/>
      </c:valAx>
      <c:spPr>
        <a:noFill/>
        <a:ln w="25400">
          <a:noFill/>
        </a:ln>
      </c:spPr>
    </c:plotArea>
    <c:legend>
      <c:legendPos val="b"/>
      <c:layout>
        <c:manualLayout>
          <c:xMode val="edge"/>
          <c:yMode val="edge"/>
          <c:x val="0.15352697095435686"/>
          <c:y val="0.88034188034188054"/>
          <c:w val="0.69294605809128651"/>
          <c:h val="0.10683760683760683"/>
        </c:manualLayout>
      </c:layout>
      <c:spPr>
        <a:noFill/>
        <a:ln w="3175">
          <a:solidFill>
            <a:srgbClr val="000000"/>
          </a:solidFill>
          <a:prstDash val="solid"/>
        </a:ln>
      </c:spPr>
      <c:txPr>
        <a:bodyPr/>
        <a:lstStyle/>
        <a:p>
          <a:pPr>
            <a:defRPr sz="94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manualLayout>
          <c:layoutTarget val="inner"/>
          <c:xMode val="edge"/>
          <c:yMode val="edge"/>
          <c:x val="1.8672199170124481E-2"/>
          <c:y val="3.8461538461538464E-2"/>
          <c:w val="0.94813278008298729"/>
          <c:h val="0.66239316239316282"/>
        </c:manualLayout>
      </c:layout>
      <c:bar3DChart>
        <c:barDir val="col"/>
        <c:grouping val="clustered"/>
        <c:ser>
          <c:idx val="0"/>
          <c:order val="0"/>
          <c:tx>
            <c:strRef>
              <c:f>Sheet1!$A$2</c:f>
              <c:strCache>
                <c:ptCount val="1"/>
                <c:pt idx="0">
                  <c:v>Ensino Fundamental Completo</c:v>
                </c:pt>
              </c:strCache>
            </c:strRef>
          </c:tx>
          <c:spPr>
            <a:solidFill>
              <a:srgbClr val="9999FF"/>
            </a:solidFill>
            <a:ln w="12700">
              <a:solidFill>
                <a:srgbClr val="000000"/>
              </a:solidFill>
              <a:prstDash val="solid"/>
            </a:ln>
          </c:spPr>
          <c:dLbls>
            <c:dLbl>
              <c:idx val="0"/>
              <c:layout>
                <c:manualLayout>
                  <c:x val="3.6419831692681079E-2"/>
                  <c:y val="-2.14543484712581E-2"/>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Sheet1!$B$2:$E$2</c:f>
              <c:numCache>
                <c:formatCode>General</c:formatCode>
                <c:ptCount val="4"/>
                <c:pt idx="0" formatCode="0%">
                  <c:v>7.0000000000000021E-2</c:v>
                </c:pt>
              </c:numCache>
            </c:numRef>
          </c:val>
        </c:ser>
        <c:ser>
          <c:idx val="1"/>
          <c:order val="1"/>
          <c:tx>
            <c:strRef>
              <c:f>Sheet1!$A$3</c:f>
              <c:strCache>
                <c:ptCount val="1"/>
                <c:pt idx="0">
                  <c:v>Ensino Fundamental Cursando</c:v>
                </c:pt>
              </c:strCache>
            </c:strRef>
          </c:tx>
          <c:spPr>
            <a:solidFill>
              <a:srgbClr val="993366"/>
            </a:solidFill>
            <a:ln w="12700">
              <a:solidFill>
                <a:srgbClr val="000000"/>
              </a:solidFill>
              <a:prstDash val="solid"/>
            </a:ln>
          </c:spPr>
          <c:dLbls>
            <c:dLbl>
              <c:idx val="1"/>
              <c:layout>
                <c:manualLayout>
                  <c:x val="3.7367113975645322E-2"/>
                  <c:y val="2.2972708487101482E-2"/>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Sheet1!$B$3:$E$3</c:f>
              <c:numCache>
                <c:formatCode>0%</c:formatCode>
                <c:ptCount val="4"/>
                <c:pt idx="1">
                  <c:v>4.0000000000000015E-2</c:v>
                </c:pt>
              </c:numCache>
            </c:numRef>
          </c:val>
        </c:ser>
        <c:ser>
          <c:idx val="2"/>
          <c:order val="2"/>
          <c:tx>
            <c:strRef>
              <c:f>Sheet1!$A$4</c:f>
              <c:strCache>
                <c:ptCount val="1"/>
                <c:pt idx="0">
                  <c:v>Ensino Médio Completo</c:v>
                </c:pt>
              </c:strCache>
            </c:strRef>
          </c:tx>
          <c:spPr>
            <a:solidFill>
              <a:srgbClr val="FFFFCC"/>
            </a:solidFill>
            <a:ln w="12700">
              <a:solidFill>
                <a:srgbClr val="000000"/>
              </a:solidFill>
              <a:prstDash val="solid"/>
            </a:ln>
          </c:spPr>
          <c:dLbls>
            <c:dLbl>
              <c:idx val="2"/>
              <c:layout>
                <c:manualLayout>
                  <c:x val="3.2870936674864792E-2"/>
                  <c:y val="7.6089338139164325E-3"/>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Sheet1!$B$4:$E$4</c:f>
              <c:numCache>
                <c:formatCode>General</c:formatCode>
                <c:ptCount val="4"/>
                <c:pt idx="2" formatCode="0%">
                  <c:v>0.33000000000000013</c:v>
                </c:pt>
              </c:numCache>
            </c:numRef>
          </c:val>
        </c:ser>
        <c:ser>
          <c:idx val="3"/>
          <c:order val="3"/>
          <c:tx>
            <c:strRef>
              <c:f>Sheet1!$A$5</c:f>
              <c:strCache>
                <c:ptCount val="1"/>
                <c:pt idx="0">
                  <c:v>Ensino Médio Cursando</c:v>
                </c:pt>
              </c:strCache>
            </c:strRef>
          </c:tx>
          <c:spPr>
            <a:solidFill>
              <a:srgbClr val="CCFFFF"/>
            </a:solidFill>
            <a:ln w="12700">
              <a:solidFill>
                <a:srgbClr val="000000"/>
              </a:solidFill>
              <a:prstDash val="solid"/>
            </a:ln>
          </c:spPr>
          <c:dLbls>
            <c:dLbl>
              <c:idx val="3"/>
              <c:layout>
                <c:manualLayout>
                  <c:x val="2.9599917053177854E-2"/>
                  <c:y val="1.5348237004247936E-18"/>
                </c:manualLayout>
              </c:layout>
              <c:showVal val="1"/>
            </c:dLbl>
            <c:spPr>
              <a:noFill/>
              <a:ln w="25400">
                <a:noFill/>
              </a:ln>
            </c:spPr>
            <c:txPr>
              <a:bodyPr/>
              <a:lstStyle/>
              <a:p>
                <a:pPr>
                  <a:defRPr sz="10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Sheet1!$B$5:$E$5</c:f>
              <c:numCache>
                <c:formatCode>General</c:formatCode>
                <c:ptCount val="4"/>
                <c:pt idx="3" formatCode="0%">
                  <c:v>0.56000000000000005</c:v>
                </c:pt>
              </c:numCache>
            </c:numRef>
          </c:val>
        </c:ser>
        <c:dLbls>
          <c:showVal val="1"/>
        </c:dLbls>
        <c:gapWidth val="0"/>
        <c:gapDepth val="10"/>
        <c:shape val="box"/>
        <c:axId val="96558464"/>
        <c:axId val="96576640"/>
        <c:axId val="0"/>
      </c:bar3DChart>
      <c:catAx>
        <c:axId val="96558464"/>
        <c:scaling>
          <c:orientation val="minMax"/>
        </c:scaling>
        <c:delete val="1"/>
        <c:axPos val="b"/>
        <c:numFmt formatCode="General" sourceLinked="1"/>
        <c:tickLblPos val="nextTo"/>
        <c:crossAx val="96576640"/>
        <c:crosses val="autoZero"/>
        <c:auto val="1"/>
        <c:lblAlgn val="ctr"/>
        <c:lblOffset val="100"/>
        <c:noMultiLvlLbl val="1"/>
      </c:catAx>
      <c:valAx>
        <c:axId val="96576640"/>
        <c:scaling>
          <c:orientation val="minMax"/>
        </c:scaling>
        <c:delete val="1"/>
        <c:axPos val="l"/>
        <c:majorGridlines>
          <c:spPr>
            <a:ln w="3175">
              <a:solidFill>
                <a:srgbClr val="000000"/>
              </a:solidFill>
              <a:prstDash val="solid"/>
            </a:ln>
          </c:spPr>
        </c:majorGridlines>
        <c:numFmt formatCode="0%" sourceLinked="1"/>
        <c:tickLblPos val="nextTo"/>
        <c:crossAx val="96558464"/>
        <c:crosses val="autoZero"/>
        <c:crossBetween val="between"/>
      </c:valAx>
      <c:spPr>
        <a:noFill/>
        <a:ln w="25400">
          <a:noFill/>
        </a:ln>
      </c:spPr>
    </c:plotArea>
    <c:legend>
      <c:legendPos val="b"/>
      <c:layout>
        <c:manualLayout>
          <c:xMode val="edge"/>
          <c:yMode val="edge"/>
          <c:x val="8.2987551867219914E-2"/>
          <c:y val="0.78632478632478653"/>
          <c:w val="0.83402489626556064"/>
          <c:h val="0.20085470085470086"/>
        </c:manualLayout>
      </c:layout>
      <c:spPr>
        <a:noFill/>
        <a:ln w="3175">
          <a:solidFill>
            <a:srgbClr val="000000"/>
          </a:solidFill>
          <a:prstDash val="solid"/>
        </a:ln>
      </c:spPr>
      <c:txPr>
        <a:bodyPr/>
        <a:lstStyle/>
        <a:p>
          <a:pPr>
            <a:defRPr sz="94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25" b="1" i="0" u="none" strike="noStrike" baseline="0">
          <a:solidFill>
            <a:srgbClr val="000000"/>
          </a:solidFill>
          <a:latin typeface="Calibri"/>
          <a:ea typeface="Calibri"/>
          <a:cs typeface="Calibri"/>
        </a:defRPr>
      </a:pPr>
      <a:endParaRPr lang="pt-BR"/>
    </a:p>
  </c:tx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bar3DChart>
        <c:barDir val="col"/>
        <c:grouping val="clustered"/>
        <c:ser>
          <c:idx val="0"/>
          <c:order val="0"/>
          <c:tx>
            <c:strRef>
              <c:f>Sheet1!$A$2</c:f>
              <c:strCache>
                <c:ptCount val="1"/>
                <c:pt idx="0">
                  <c:v>Empreendimentos Hoteleiros</c:v>
                </c:pt>
              </c:strCache>
            </c:strRef>
          </c:tx>
          <c:spPr>
            <a:solidFill>
              <a:srgbClr val="9999FF"/>
            </a:solidFill>
            <a:ln w="12700">
              <a:solidFill>
                <a:srgbClr val="000000"/>
              </a:solidFill>
              <a:prstDash val="solid"/>
            </a:ln>
          </c:spPr>
          <c:dLbls>
            <c:dLbl>
              <c:idx val="0"/>
              <c:layout>
                <c:manualLayout>
                  <c:x val="0.22176037333910933"/>
                  <c:y val="1.3502652593957696E-2"/>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Sheet1!$B$2:$E$2</c:f>
              <c:numCache>
                <c:formatCode>General</c:formatCode>
                <c:ptCount val="4"/>
                <c:pt idx="0" formatCode="0%">
                  <c:v>0.63000000000000023</c:v>
                </c:pt>
              </c:numCache>
            </c:numRef>
          </c:val>
        </c:ser>
        <c:ser>
          <c:idx val="1"/>
          <c:order val="1"/>
          <c:tx>
            <c:strRef>
              <c:f>Sheet1!$A$3</c:f>
              <c:strCache>
                <c:ptCount val="1"/>
                <c:pt idx="0">
                  <c:v>Empreendimentos de Alimentos e Bebidas</c:v>
                </c:pt>
              </c:strCache>
            </c:strRef>
          </c:tx>
          <c:spPr>
            <a:solidFill>
              <a:srgbClr val="993366"/>
            </a:solidFill>
            <a:ln w="12700">
              <a:solidFill>
                <a:srgbClr val="000000"/>
              </a:solidFill>
              <a:prstDash val="solid"/>
            </a:ln>
          </c:spPr>
          <c:dLbls>
            <c:dLbl>
              <c:idx val="1"/>
              <c:layout>
                <c:manualLayout>
                  <c:x val="0.20089808784313523"/>
                  <c:y val="-0.15775491893300561"/>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Sheet1!$B$3:$E$3</c:f>
              <c:numCache>
                <c:formatCode>0%</c:formatCode>
                <c:ptCount val="4"/>
                <c:pt idx="1">
                  <c:v>0.16</c:v>
                </c:pt>
              </c:numCache>
            </c:numRef>
          </c:val>
        </c:ser>
        <c:ser>
          <c:idx val="2"/>
          <c:order val="2"/>
          <c:tx>
            <c:strRef>
              <c:f>Sheet1!$A$4</c:f>
              <c:strCache>
                <c:ptCount val="1"/>
                <c:pt idx="0">
                  <c:v>Empreendimentos de Eventos</c:v>
                </c:pt>
              </c:strCache>
            </c:strRef>
          </c:tx>
          <c:spPr>
            <a:solidFill>
              <a:srgbClr val="FFFFCC"/>
            </a:solidFill>
            <a:ln w="12700">
              <a:solidFill>
                <a:srgbClr val="000000"/>
              </a:solidFill>
              <a:prstDash val="solid"/>
            </a:ln>
          </c:spPr>
          <c:dLbls>
            <c:dLbl>
              <c:idx val="2"/>
              <c:layout>
                <c:manualLayout>
                  <c:x val="0.17793995477551466"/>
                  <c:y val="-0.13208972282719977"/>
                </c:manualLayout>
              </c:layout>
              <c:showVal val="1"/>
            </c:dLbl>
            <c:spPr>
              <a:noFill/>
              <a:ln w="25400">
                <a:noFill/>
              </a:ln>
            </c:spPr>
            <c:txPr>
              <a:bodyPr/>
              <a:lstStyle/>
              <a:p>
                <a:pPr>
                  <a:defRPr sz="1200"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Sheet1!$B$4:$E$4</c:f>
              <c:numCache>
                <c:formatCode>General</c:formatCode>
                <c:ptCount val="4"/>
                <c:pt idx="2" formatCode="0%">
                  <c:v>0.21000000000000005</c:v>
                </c:pt>
              </c:numCache>
            </c:numRef>
          </c:val>
        </c:ser>
        <c:dLbls>
          <c:showVal val="1"/>
        </c:dLbls>
        <c:gapWidth val="130"/>
        <c:gapDepth val="10"/>
        <c:shape val="box"/>
        <c:axId val="96312704"/>
        <c:axId val="102065280"/>
        <c:axId val="0"/>
      </c:bar3DChart>
      <c:catAx>
        <c:axId val="96312704"/>
        <c:scaling>
          <c:orientation val="minMax"/>
        </c:scaling>
        <c:delete val="1"/>
        <c:axPos val="b"/>
        <c:numFmt formatCode="General" sourceLinked="1"/>
        <c:tickLblPos val="nextTo"/>
        <c:crossAx val="102065280"/>
        <c:crosses val="autoZero"/>
        <c:auto val="1"/>
        <c:lblAlgn val="ctr"/>
        <c:lblOffset val="100"/>
        <c:noMultiLvlLbl val="1"/>
      </c:catAx>
      <c:valAx>
        <c:axId val="102065280"/>
        <c:scaling>
          <c:orientation val="minMax"/>
        </c:scaling>
        <c:delete val="1"/>
        <c:axPos val="l"/>
        <c:majorGridlines>
          <c:spPr>
            <a:ln w="3175">
              <a:solidFill>
                <a:srgbClr val="000000"/>
              </a:solidFill>
              <a:prstDash val="solid"/>
            </a:ln>
          </c:spPr>
        </c:majorGridlines>
        <c:numFmt formatCode="0%" sourceLinked="1"/>
        <c:tickLblPos val="nextTo"/>
        <c:crossAx val="96312704"/>
        <c:crosses val="autoZero"/>
        <c:crossBetween val="between"/>
      </c:valAx>
      <c:spPr>
        <a:noFill/>
        <a:ln w="25400">
          <a:noFill/>
        </a:ln>
      </c:spPr>
    </c:plotArea>
    <c:legend>
      <c:legendPos val="r"/>
      <c:layout>
        <c:manualLayout>
          <c:xMode val="edge"/>
          <c:yMode val="edge"/>
          <c:x val="0.1663244353182752"/>
          <c:y val="0.7466666666666667"/>
          <c:w val="0.72073921971252564"/>
          <c:h val="0.25777777777777788"/>
        </c:manualLayout>
      </c:layout>
      <c:spPr>
        <a:noFill/>
        <a:ln w="3175">
          <a:solidFill>
            <a:srgbClr val="000000"/>
          </a:solidFill>
          <a:prstDash val="solid"/>
        </a:ln>
      </c:spPr>
      <c:txPr>
        <a:bodyPr/>
        <a:lstStyle/>
        <a:p>
          <a:pPr>
            <a:defRPr sz="985"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1000" b="1" i="0" u="none" strike="noStrike" baseline="0">
          <a:solidFill>
            <a:srgbClr val="000000"/>
          </a:solidFill>
          <a:latin typeface="Calibri"/>
          <a:ea typeface="Calibri"/>
          <a:cs typeface="Calibri"/>
        </a:defRPr>
      </a:pPr>
      <a:endParaRPr lang="pt-BR"/>
    </a:p>
  </c:tx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pt-BR"/>
  <c:chart>
    <c:autoTitleDeleted val="1"/>
    <c:view3D>
      <c:rotX val="0"/>
      <c:hPercent val="100"/>
      <c:depthPercent val="880"/>
      <c:perspective val="0"/>
    </c:view3D>
    <c:floor>
      <c:spPr>
        <a:solidFill>
          <a:srgbClr val="C0C0C0"/>
        </a:solidFill>
        <a:ln w="3175">
          <a:solidFill>
            <a:srgbClr val="000000"/>
          </a:solidFill>
          <a:prstDash val="solid"/>
        </a:ln>
      </c:spPr>
    </c:floor>
    <c:sideWall>
      <c:spPr>
        <a:noFill/>
        <a:ln w="12700">
          <a:solidFill>
            <a:srgbClr val="FFFFFF"/>
          </a:solidFill>
          <a:prstDash val="solid"/>
        </a:ln>
      </c:spPr>
    </c:sideWall>
    <c:backWall>
      <c:spPr>
        <a:noFill/>
        <a:ln w="12700">
          <a:solidFill>
            <a:srgbClr val="FFFFFF"/>
          </a:solidFill>
          <a:prstDash val="solid"/>
        </a:ln>
      </c:spPr>
    </c:backWall>
    <c:plotArea>
      <c:layout>
        <c:manualLayout>
          <c:layoutTarget val="inner"/>
          <c:xMode val="edge"/>
          <c:yMode val="edge"/>
          <c:x val="2.0000000000000007E-2"/>
          <c:y val="4.2452830188679271E-2"/>
          <c:w val="0.94444444444444464"/>
          <c:h val="0.74056603773584906"/>
        </c:manualLayout>
      </c:layout>
      <c:bar3DChart>
        <c:barDir val="col"/>
        <c:grouping val="clustered"/>
        <c:ser>
          <c:idx val="0"/>
          <c:order val="0"/>
          <c:tx>
            <c:strRef>
              <c:f>Sheet1!$A$2</c:f>
              <c:strCache>
                <c:ptCount val="1"/>
                <c:pt idx="0">
                  <c:v>Matriculados</c:v>
                </c:pt>
              </c:strCache>
            </c:strRef>
          </c:tx>
          <c:spPr>
            <a:solidFill>
              <a:srgbClr val="9999FF"/>
            </a:solidFill>
            <a:ln w="12700">
              <a:solidFill>
                <a:srgbClr val="000000"/>
              </a:solidFill>
              <a:prstDash val="solid"/>
            </a:ln>
          </c:spPr>
          <c:dLbls>
            <c:dLbl>
              <c:idx val="0"/>
              <c:layout>
                <c:manualLayout>
                  <c:x val="0.10590283589822433"/>
                  <c:y val="9.4339622641509448E-3"/>
                </c:manualLayout>
              </c:layout>
              <c:showVal val="1"/>
            </c:dLbl>
            <c:spPr>
              <a:noFill/>
              <a:ln w="25400">
                <a:noFill/>
              </a:ln>
            </c:spPr>
            <c:txPr>
              <a:bodyPr/>
              <a:lstStyle/>
              <a:p>
                <a:pPr>
                  <a:defRPr sz="9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Sheet1!$B$2:$E$2</c:f>
              <c:numCache>
                <c:formatCode>General</c:formatCode>
                <c:ptCount val="4"/>
                <c:pt idx="0" formatCode="0%">
                  <c:v>1</c:v>
                </c:pt>
              </c:numCache>
            </c:numRef>
          </c:val>
        </c:ser>
        <c:ser>
          <c:idx val="1"/>
          <c:order val="1"/>
          <c:tx>
            <c:strRef>
              <c:f>Sheet1!$A$3</c:f>
              <c:strCache>
                <c:ptCount val="1"/>
                <c:pt idx="0">
                  <c:v>Concluíntes</c:v>
                </c:pt>
              </c:strCache>
            </c:strRef>
          </c:tx>
          <c:spPr>
            <a:solidFill>
              <a:srgbClr val="993366"/>
            </a:solidFill>
            <a:ln w="12700">
              <a:solidFill>
                <a:srgbClr val="000000"/>
              </a:solidFill>
              <a:prstDash val="solid"/>
            </a:ln>
          </c:spPr>
          <c:dLbls>
            <c:dLbl>
              <c:idx val="1"/>
              <c:layout>
                <c:manualLayout>
                  <c:x val="8.9080377967938523E-2"/>
                  <c:y val="4.7169811320754741E-3"/>
                </c:manualLayout>
              </c:layout>
              <c:showVal val="1"/>
            </c:dLbl>
            <c:spPr>
              <a:noFill/>
              <a:ln w="25400">
                <a:noFill/>
              </a:ln>
            </c:spPr>
            <c:txPr>
              <a:bodyPr/>
              <a:lstStyle/>
              <a:p>
                <a:pPr>
                  <a:defRPr sz="9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Sheet1!$B$3:$E$3</c:f>
              <c:numCache>
                <c:formatCode>0%</c:formatCode>
                <c:ptCount val="4"/>
                <c:pt idx="1">
                  <c:v>0.94499999999999995</c:v>
                </c:pt>
              </c:numCache>
            </c:numRef>
          </c:val>
        </c:ser>
        <c:ser>
          <c:idx val="2"/>
          <c:order val="2"/>
          <c:tx>
            <c:strRef>
              <c:f>Sheet1!$A$4</c:f>
              <c:strCache>
                <c:ptCount val="1"/>
                <c:pt idx="0">
                  <c:v>Não Concluíntes</c:v>
                </c:pt>
              </c:strCache>
            </c:strRef>
          </c:tx>
          <c:spPr>
            <a:solidFill>
              <a:srgbClr val="FFFFCC"/>
            </a:solidFill>
            <a:ln w="12700">
              <a:solidFill>
                <a:srgbClr val="000000"/>
              </a:solidFill>
              <a:prstDash val="solid"/>
            </a:ln>
          </c:spPr>
          <c:dLbls>
            <c:dLbl>
              <c:idx val="2"/>
              <c:layout>
                <c:manualLayout>
                  <c:x val="3.4443476561091486E-2"/>
                  <c:y val="6.077781837698578E-3"/>
                </c:manualLayout>
              </c:layout>
              <c:showVal val="1"/>
            </c:dLbl>
            <c:spPr>
              <a:noFill/>
              <a:ln w="25400">
                <a:noFill/>
              </a:ln>
            </c:spPr>
            <c:txPr>
              <a:bodyPr/>
              <a:lstStyle/>
              <a:p>
                <a:pPr>
                  <a:defRPr sz="925" b="1" i="0" u="none" strike="noStrike" baseline="0">
                    <a:solidFill>
                      <a:srgbClr val="000000"/>
                    </a:solidFill>
                    <a:latin typeface="Calibri"/>
                    <a:ea typeface="Calibri"/>
                    <a:cs typeface="Calibri"/>
                  </a:defRPr>
                </a:pPr>
                <a:endParaRPr lang="pt-BR"/>
              </a:p>
            </c:txPr>
            <c:showVal val="1"/>
          </c:dLbls>
          <c:cat>
            <c:numRef>
              <c:f>Sheet1!$B$1:$E$1</c:f>
              <c:numCache>
                <c:formatCode>General</c:formatCode>
                <c:ptCount val="4"/>
              </c:numCache>
            </c:numRef>
          </c:cat>
          <c:val>
            <c:numRef>
              <c:f>Sheet1!$B$4:$E$4</c:f>
              <c:numCache>
                <c:formatCode>General</c:formatCode>
                <c:ptCount val="4"/>
                <c:pt idx="2" formatCode="0%">
                  <c:v>5.0000000000000017E-2</c:v>
                </c:pt>
              </c:numCache>
            </c:numRef>
          </c:val>
        </c:ser>
        <c:dLbls>
          <c:showVal val="1"/>
        </c:dLbls>
        <c:gapWidth val="130"/>
        <c:gapDepth val="10"/>
        <c:shape val="box"/>
        <c:axId val="96087424"/>
        <c:axId val="96126080"/>
        <c:axId val="0"/>
      </c:bar3DChart>
      <c:catAx>
        <c:axId val="96087424"/>
        <c:scaling>
          <c:orientation val="minMax"/>
        </c:scaling>
        <c:delete val="1"/>
        <c:axPos val="b"/>
        <c:numFmt formatCode="General" sourceLinked="1"/>
        <c:tickLblPos val="nextTo"/>
        <c:crossAx val="96126080"/>
        <c:crosses val="autoZero"/>
        <c:auto val="1"/>
        <c:lblAlgn val="ctr"/>
        <c:lblOffset val="100"/>
        <c:noMultiLvlLbl val="1"/>
      </c:catAx>
      <c:valAx>
        <c:axId val="96126080"/>
        <c:scaling>
          <c:orientation val="minMax"/>
        </c:scaling>
        <c:delete val="1"/>
        <c:axPos val="l"/>
        <c:majorGridlines>
          <c:spPr>
            <a:ln w="3175">
              <a:solidFill>
                <a:srgbClr val="000000"/>
              </a:solidFill>
              <a:prstDash val="solid"/>
            </a:ln>
          </c:spPr>
        </c:majorGridlines>
        <c:numFmt formatCode="0%" sourceLinked="1"/>
        <c:tickLblPos val="nextTo"/>
        <c:crossAx val="96087424"/>
        <c:crosses val="autoZero"/>
        <c:crossBetween val="between"/>
      </c:valAx>
      <c:spPr>
        <a:noFill/>
        <a:ln w="25400">
          <a:noFill/>
        </a:ln>
      </c:spPr>
    </c:plotArea>
    <c:legend>
      <c:legendPos val="b"/>
      <c:layout>
        <c:manualLayout>
          <c:xMode val="edge"/>
          <c:yMode val="edge"/>
          <c:x val="0.21555555555555556"/>
          <c:y val="0.87735849056603799"/>
          <c:w val="0.56666666666666654"/>
          <c:h val="0.10849056603773588"/>
        </c:manualLayout>
      </c:layout>
      <c:spPr>
        <a:noFill/>
        <a:ln w="3175">
          <a:solidFill>
            <a:srgbClr val="000000"/>
          </a:solidFill>
          <a:prstDash val="solid"/>
        </a:ln>
      </c:spPr>
      <c:txPr>
        <a:bodyPr/>
        <a:lstStyle/>
        <a:p>
          <a:pPr>
            <a:defRPr sz="850" b="1" i="0" u="none" strike="noStrike" baseline="0">
              <a:solidFill>
                <a:srgbClr val="000000"/>
              </a:solidFill>
              <a:latin typeface="Calibri"/>
              <a:ea typeface="Calibri"/>
              <a:cs typeface="Calibri"/>
            </a:defRPr>
          </a:pPr>
          <a:endParaRPr lang="pt-BR"/>
        </a:p>
      </c:txPr>
    </c:legend>
    <c:plotVisOnly val="1"/>
    <c:dispBlanksAs val="gap"/>
  </c:chart>
  <c:spPr>
    <a:noFill/>
    <a:ln>
      <a:noFill/>
    </a:ln>
  </c:spPr>
  <c:txPr>
    <a:bodyPr/>
    <a:lstStyle/>
    <a:p>
      <a:pPr>
        <a:defRPr sz="925" b="1" i="0" u="none" strike="noStrike" baseline="0">
          <a:solidFill>
            <a:srgbClr val="000000"/>
          </a:solidFill>
          <a:latin typeface="Calibri"/>
          <a:ea typeface="Calibri"/>
          <a:cs typeface="Calibri"/>
        </a:defRPr>
      </a:pPr>
      <a:endParaRPr lang="pt-BR"/>
    </a:p>
  </c:txPr>
  <c:externalData r:id="rId1"/>
</c:chartSpace>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C36B1D-6484-443A-978A-90251CF80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104</Pages>
  <Words>35031</Words>
  <Characters>189170</Characters>
  <Application>Microsoft Office Word</Application>
  <DocSecurity>0</DocSecurity>
  <Lines>1576</Lines>
  <Paragraphs>447</Paragraphs>
  <ScaleCrop>false</ScaleCrop>
  <HeadingPairs>
    <vt:vector size="2" baseType="variant">
      <vt:variant>
        <vt:lpstr>Título</vt:lpstr>
      </vt:variant>
      <vt:variant>
        <vt:i4>1</vt:i4>
      </vt:variant>
    </vt:vector>
  </HeadingPairs>
  <TitlesOfParts>
    <vt:vector size="1" baseType="lpstr">
      <vt:lpstr>1</vt:lpstr>
    </vt:vector>
  </TitlesOfParts>
  <Company/>
  <LinksUpToDate>false</LinksUpToDate>
  <CharactersWithSpaces>223754</CharactersWithSpaces>
  <SharedDoc>false</SharedDoc>
  <HLinks>
    <vt:vector size="156" baseType="variant">
      <vt:variant>
        <vt:i4>852087</vt:i4>
      </vt:variant>
      <vt:variant>
        <vt:i4>114</vt:i4>
      </vt:variant>
      <vt:variant>
        <vt:i4>0</vt:i4>
      </vt:variant>
      <vt:variant>
        <vt:i4>5</vt:i4>
      </vt:variant>
      <vt:variant>
        <vt:lpwstr>mailto:trescunha@yahoo.com.br</vt:lpwstr>
      </vt:variant>
      <vt:variant>
        <vt:lpwstr/>
      </vt:variant>
      <vt:variant>
        <vt:i4>2162719</vt:i4>
      </vt:variant>
      <vt:variant>
        <vt:i4>111</vt:i4>
      </vt:variant>
      <vt:variant>
        <vt:i4>0</vt:i4>
      </vt:variant>
      <vt:variant>
        <vt:i4>5</vt:i4>
      </vt:variant>
      <vt:variant>
        <vt:lpwstr>mailto:imprensa.sesicn@sesi.org.br</vt:lpwstr>
      </vt:variant>
      <vt:variant>
        <vt:lpwstr/>
      </vt:variant>
      <vt:variant>
        <vt:i4>8061042</vt:i4>
      </vt:variant>
      <vt:variant>
        <vt:i4>108</vt:i4>
      </vt:variant>
      <vt:variant>
        <vt:i4>0</vt:i4>
      </vt:variant>
      <vt:variant>
        <vt:i4>5</vt:i4>
      </vt:variant>
      <vt:variant>
        <vt:lpwstr>http://www.uni-goettingen.de/en/60864.html</vt:lpwstr>
      </vt:variant>
      <vt:variant>
        <vt:lpwstr/>
      </vt:variant>
      <vt:variant>
        <vt:i4>6553663</vt:i4>
      </vt:variant>
      <vt:variant>
        <vt:i4>105</vt:i4>
      </vt:variant>
      <vt:variant>
        <vt:i4>0</vt:i4>
      </vt:variant>
      <vt:variant>
        <vt:i4>5</vt:i4>
      </vt:variant>
      <vt:variant>
        <vt:lpwstr>http://unpan1.un.org/intradoc/groups/public/documents/ASPA/UNPAN005912.pdf</vt:lpwstr>
      </vt:variant>
      <vt:variant>
        <vt:lpwstr/>
      </vt:variant>
      <vt:variant>
        <vt:i4>4391008</vt:i4>
      </vt:variant>
      <vt:variant>
        <vt:i4>102</vt:i4>
      </vt:variant>
      <vt:variant>
        <vt:i4>0</vt:i4>
      </vt:variant>
      <vt:variant>
        <vt:i4>5</vt:i4>
      </vt:variant>
      <vt:variant>
        <vt:lpwstr>http://www.uniethos.org.br/_Uniethos/Documents/proces_gerenciais_web.pdf</vt:lpwstr>
      </vt:variant>
      <vt:variant>
        <vt:lpwstr/>
      </vt:variant>
      <vt:variant>
        <vt:i4>4391002</vt:i4>
      </vt:variant>
      <vt:variant>
        <vt:i4>99</vt:i4>
      </vt:variant>
      <vt:variant>
        <vt:i4>0</vt:i4>
      </vt:variant>
      <vt:variant>
        <vt:i4>5</vt:i4>
      </vt:variant>
      <vt:variant>
        <vt:lpwstr>http://siteresources.worldbank.org/BRAZILINPOREXTN/Resources/3817166-1220388091471/EPBrasil2008.pdf?resourceurlname=EPBrasil2008.pdf</vt:lpwstr>
      </vt:variant>
      <vt:variant>
        <vt:lpwstr/>
      </vt:variant>
      <vt:variant>
        <vt:i4>2883692</vt:i4>
      </vt:variant>
      <vt:variant>
        <vt:i4>96</vt:i4>
      </vt:variant>
      <vt:variant>
        <vt:i4>0</vt:i4>
      </vt:variant>
      <vt:variant>
        <vt:i4>5</vt:i4>
      </vt:variant>
      <vt:variant>
        <vt:lpwstr>http://siteresources.worldbank.org/BRAZILINPOREXTN/Resources/BRAZILCAS2003Port.pdf</vt:lpwstr>
      </vt:variant>
      <vt:variant>
        <vt:lpwstr/>
      </vt:variant>
      <vt:variant>
        <vt:i4>3735624</vt:i4>
      </vt:variant>
      <vt:variant>
        <vt:i4>93</vt:i4>
      </vt:variant>
      <vt:variant>
        <vt:i4>0</vt:i4>
      </vt:variant>
      <vt:variant>
        <vt:i4>5</vt:i4>
      </vt:variant>
      <vt:variant>
        <vt:lpwstr>http://www.bndes.gov.br/SiteBNDES/export/sites/default/bndes_pt/Galerias/Arquivos/conhecimento/revista/rev2305.pdf</vt:lpwstr>
      </vt:variant>
      <vt:variant>
        <vt:lpwstr/>
      </vt:variant>
      <vt:variant>
        <vt:i4>2752615</vt:i4>
      </vt:variant>
      <vt:variant>
        <vt:i4>90</vt:i4>
      </vt:variant>
      <vt:variant>
        <vt:i4>0</vt:i4>
      </vt:variant>
      <vt:variant>
        <vt:i4>5</vt:i4>
      </vt:variant>
      <vt:variant>
        <vt:lpwstr>http://64.233.163.132/search?q=cache:TGjWU9MnDMkJ:www.hottopos.com/vdletras3/vitoria.htm+direitos+sociais+no+brasil&amp;cd=3&amp;hl=pt-BR&amp;ct=clnk&amp;gl=br</vt:lpwstr>
      </vt:variant>
      <vt:variant>
        <vt:lpwstr/>
      </vt:variant>
      <vt:variant>
        <vt:i4>983133</vt:i4>
      </vt:variant>
      <vt:variant>
        <vt:i4>87</vt:i4>
      </vt:variant>
      <vt:variant>
        <vt:i4>0</vt:i4>
      </vt:variant>
      <vt:variant>
        <vt:i4>5</vt:i4>
      </vt:variant>
      <vt:variant>
        <vt:lpwstr>http://www.unicef.org/brazil/pt/UNI13.pdf</vt:lpwstr>
      </vt:variant>
      <vt:variant>
        <vt:lpwstr/>
      </vt:variant>
      <vt:variant>
        <vt:i4>2097205</vt:i4>
      </vt:variant>
      <vt:variant>
        <vt:i4>84</vt:i4>
      </vt:variant>
      <vt:variant>
        <vt:i4>0</vt:i4>
      </vt:variant>
      <vt:variant>
        <vt:i4>5</vt:i4>
      </vt:variant>
      <vt:variant>
        <vt:lpwstr>http://www.direitodoestado.com/revista/REDAE-2-MAIO-2005-JOSE ALVARENGA.pdf</vt:lpwstr>
      </vt:variant>
      <vt:variant>
        <vt:lpwstr/>
      </vt:variant>
      <vt:variant>
        <vt:i4>2228241</vt:i4>
      </vt:variant>
      <vt:variant>
        <vt:i4>81</vt:i4>
      </vt:variant>
      <vt:variant>
        <vt:i4>0</vt:i4>
      </vt:variant>
      <vt:variant>
        <vt:i4>5</vt:i4>
      </vt:variant>
      <vt:variant>
        <vt:lpwstr>http://www.jurisway.org.br/v2/dhall.asp?id_dh=1233</vt:lpwstr>
      </vt:variant>
      <vt:variant>
        <vt:lpwstr/>
      </vt:variant>
      <vt:variant>
        <vt:i4>4063316</vt:i4>
      </vt:variant>
      <vt:variant>
        <vt:i4>78</vt:i4>
      </vt:variant>
      <vt:variant>
        <vt:i4>0</vt:i4>
      </vt:variant>
      <vt:variant>
        <vt:i4>5</vt:i4>
      </vt:variant>
      <vt:variant>
        <vt:lpwstr>http://www.senai.br/br/institucional/snai_go.aspx</vt:lpwstr>
      </vt:variant>
      <vt:variant>
        <vt:lpwstr/>
      </vt:variant>
      <vt:variant>
        <vt:i4>4390983</vt:i4>
      </vt:variant>
      <vt:variant>
        <vt:i4>75</vt:i4>
      </vt:variant>
      <vt:variant>
        <vt:i4>0</vt:i4>
      </vt:variant>
      <vt:variant>
        <vt:i4>5</vt:i4>
      </vt:variant>
      <vt:variant>
        <vt:lpwstr>http://www.sesi.org.br/portal/main.jsp?lumChannelId=8A9015D016389BEA01163DF926A605C1</vt:lpwstr>
      </vt:variant>
      <vt:variant>
        <vt:lpwstr/>
      </vt:variant>
      <vt:variant>
        <vt:i4>7929975</vt:i4>
      </vt:variant>
      <vt:variant>
        <vt:i4>72</vt:i4>
      </vt:variant>
      <vt:variant>
        <vt:i4>0</vt:i4>
      </vt:variant>
      <vt:variant>
        <vt:i4>5</vt:i4>
      </vt:variant>
      <vt:variant>
        <vt:lpwstr>http://www6.senado.gov.br/legislacao/ListaPublicacoes.action?id=191765</vt:lpwstr>
      </vt:variant>
      <vt:variant>
        <vt:lpwstr/>
      </vt:variant>
      <vt:variant>
        <vt:i4>8126471</vt:i4>
      </vt:variant>
      <vt:variant>
        <vt:i4>69</vt:i4>
      </vt:variant>
      <vt:variant>
        <vt:i4>0</vt:i4>
      </vt:variant>
      <vt:variant>
        <vt:i4>5</vt:i4>
      </vt:variant>
      <vt:variant>
        <vt:lpwstr>http://www.turismo.gov.br/turismo/o_ministerio/regimento</vt:lpwstr>
      </vt:variant>
      <vt:variant>
        <vt:lpwstr/>
      </vt:variant>
      <vt:variant>
        <vt:i4>4063267</vt:i4>
      </vt:variant>
      <vt:variant>
        <vt:i4>66</vt:i4>
      </vt:variant>
      <vt:variant>
        <vt:i4>0</vt:i4>
      </vt:variant>
      <vt:variant>
        <vt:i4>5</vt:i4>
      </vt:variant>
      <vt:variant>
        <vt:lpwstr>http://www.turismo.gov.br/turismo/o_ministerio/publicacoes/cadernos_publicacoes/10desafios.html</vt:lpwstr>
      </vt:variant>
      <vt:variant>
        <vt:lpwstr/>
      </vt:variant>
      <vt:variant>
        <vt:i4>6488157</vt:i4>
      </vt:variant>
      <vt:variant>
        <vt:i4>63</vt:i4>
      </vt:variant>
      <vt:variant>
        <vt:i4>0</vt:i4>
      </vt:variant>
      <vt:variant>
        <vt:i4>5</vt:i4>
      </vt:variant>
      <vt:variant>
        <vt:lpwstr>http://www.pr5.ufrj.br/pedh/documentos/plano_nacional Violencia.pdf</vt:lpwstr>
      </vt:variant>
      <vt:variant>
        <vt:lpwstr/>
      </vt:variant>
      <vt:variant>
        <vt:i4>7864406</vt:i4>
      </vt:variant>
      <vt:variant>
        <vt:i4>60</vt:i4>
      </vt:variant>
      <vt:variant>
        <vt:i4>0</vt:i4>
      </vt:variant>
      <vt:variant>
        <vt:i4>5</vt:i4>
      </vt:variant>
      <vt:variant>
        <vt:lpwstr>http://www.ibge.gov.br/home/estatistica/populacao/condicaodevida/indicadoresminimos/sinteseindicsociais2007/indic_sociais2007.pdf</vt:lpwstr>
      </vt:variant>
      <vt:variant>
        <vt:lpwstr/>
      </vt:variant>
      <vt:variant>
        <vt:i4>4063335</vt:i4>
      </vt:variant>
      <vt:variant>
        <vt:i4>57</vt:i4>
      </vt:variant>
      <vt:variant>
        <vt:i4>0</vt:i4>
      </vt:variant>
      <vt:variant>
        <vt:i4>5</vt:i4>
      </vt:variant>
      <vt:variant>
        <vt:lpwstr>http://www.imf.org/external/np/fad/2004/pifp/eng/031204.pdf</vt:lpwstr>
      </vt:variant>
      <vt:variant>
        <vt:lpwstr/>
      </vt:variant>
      <vt:variant>
        <vt:i4>7995503</vt:i4>
      </vt:variant>
      <vt:variant>
        <vt:i4>54</vt:i4>
      </vt:variant>
      <vt:variant>
        <vt:i4>0</vt:i4>
      </vt:variant>
      <vt:variant>
        <vt:i4>5</vt:i4>
      </vt:variant>
      <vt:variant>
        <vt:lpwstr>http://eur-lex.europa.eu/LexUriServ/LexUriServ.do?uri=COM:2004:0327:FIN:PT:PDF</vt:lpwstr>
      </vt:variant>
      <vt:variant>
        <vt:lpwstr/>
      </vt:variant>
      <vt:variant>
        <vt:i4>6619261</vt:i4>
      </vt:variant>
      <vt:variant>
        <vt:i4>51</vt:i4>
      </vt:variant>
      <vt:variant>
        <vt:i4>0</vt:i4>
      </vt:variant>
      <vt:variant>
        <vt:i4>5</vt:i4>
      </vt:variant>
      <vt:variant>
        <vt:lpwstr>http://www.planalto.gov.br/ccivil_03/_ato2004-2006/2004/Lei/L11079.htm</vt:lpwstr>
      </vt:variant>
      <vt:variant>
        <vt:lpwstr/>
      </vt:variant>
      <vt:variant>
        <vt:i4>4194411</vt:i4>
      </vt:variant>
      <vt:variant>
        <vt:i4>48</vt:i4>
      </vt:variant>
      <vt:variant>
        <vt:i4>0</vt:i4>
      </vt:variant>
      <vt:variant>
        <vt:i4>5</vt:i4>
      </vt:variant>
      <vt:variant>
        <vt:lpwstr>http://www.planalto.gov.br/ccivil_03/LEIS/L8987cons.htm</vt:lpwstr>
      </vt:variant>
      <vt:variant>
        <vt:lpwstr/>
      </vt:variant>
      <vt:variant>
        <vt:i4>196681</vt:i4>
      </vt:variant>
      <vt:variant>
        <vt:i4>45</vt:i4>
      </vt:variant>
      <vt:variant>
        <vt:i4>0</vt:i4>
      </vt:variant>
      <vt:variant>
        <vt:i4>5</vt:i4>
      </vt:variant>
      <vt:variant>
        <vt:lpwstr>http://www.planalto.gov.br/ccivil_03/_Ato2007-2010/2007/Decreto/D6170.htm</vt:lpwstr>
      </vt:variant>
      <vt:variant>
        <vt:lpwstr/>
      </vt:variant>
      <vt:variant>
        <vt:i4>5963893</vt:i4>
      </vt:variant>
      <vt:variant>
        <vt:i4>42</vt:i4>
      </vt:variant>
      <vt:variant>
        <vt:i4>0</vt:i4>
      </vt:variant>
      <vt:variant>
        <vt:i4>5</vt:i4>
      </vt:variant>
      <vt:variant>
        <vt:lpwstr>http://www.planalto.gov.br/ccivil_03/Constituicao/Constitui%C3%A7ao.htm</vt:lpwstr>
      </vt:variant>
      <vt:variant>
        <vt:lpwstr/>
      </vt:variant>
      <vt:variant>
        <vt:i4>4390940</vt:i4>
      </vt:variant>
      <vt:variant>
        <vt:i4>39</vt:i4>
      </vt:variant>
      <vt:variant>
        <vt:i4>0</vt:i4>
      </vt:variant>
      <vt:variant>
        <vt:i4>5</vt:i4>
      </vt:variant>
      <vt:variant>
        <vt:lpwstr>http://www.planalto.gov.br/ccivil/decreto-lei/del2848.htm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MCunha</dc:creator>
  <cp:lastModifiedBy>MCunha</cp:lastModifiedBy>
  <cp:revision>3</cp:revision>
  <dcterms:created xsi:type="dcterms:W3CDTF">2010-12-17T14:40:00Z</dcterms:created>
  <dcterms:modified xsi:type="dcterms:W3CDTF">2010-12-17T15:32:00Z</dcterms:modified>
</cp:coreProperties>
</file>