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56B1" w:rsidRPr="00827BF3" w:rsidRDefault="001656B1" w:rsidP="001656B1">
      <w:pPr>
        <w:spacing w:before="360" w:after="0" w:line="280" w:lineRule="exact"/>
        <w:jc w:val="both"/>
        <w:outlineLvl w:val="0"/>
        <w:rPr>
          <w:rFonts w:ascii="Times New Roman" w:hAnsi="Times New Roman"/>
          <w:sz w:val="24"/>
          <w:szCs w:val="24"/>
        </w:rPr>
      </w:pPr>
      <w:r w:rsidRPr="00827BF3">
        <w:rPr>
          <w:rFonts w:ascii="Times New Roman" w:hAnsi="Times New Roman"/>
          <w:sz w:val="24"/>
          <w:szCs w:val="24"/>
        </w:rPr>
        <w:t>Espírito e sociedade – retomar investigações esquecidas com novos métodos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Num estudo sobre os tumultos em Atenas, em Dezembro de 2008, poucas semanas depois da declaração de crise financeira global (chegou a temer-se, erradamente, ser uma primeira reacção social à crise), uma entrevistada de meia-idade declarou ter descoberto a </w:t>
      </w:r>
      <w:r w:rsidRPr="00827BF3">
        <w:rPr>
          <w:rFonts w:ascii="Times New Roman" w:hAnsi="Times New Roman"/>
          <w:i/>
        </w:rPr>
        <w:t>sociedade</w:t>
      </w:r>
      <w:r w:rsidRPr="00827BF3">
        <w:rPr>
          <w:rFonts w:ascii="Times New Roman" w:hAnsi="Times New Roman"/>
        </w:rPr>
        <w:t xml:space="preserve">, como uma espécie de revelação positiva. O facto de ter dois filhos com a mesma idade do jovem assassinado pela polícia (cujo incidente espoletou a violência por toda a Grécia) explica, pelo menos em parte, o seu envolvimento. Durante a sua vida anterior, embora tenha desenvolvido acções sociais – profissionalmente era editora e socialmente ensinava gratuitamente a fazer fotografias aos frequentadores de uma associação sem fins lucrativos, sediada no centro de Atenas – jamais tinha </w:t>
      </w:r>
      <w:r w:rsidRPr="00827BF3">
        <w:rPr>
          <w:rFonts w:ascii="Times New Roman" w:hAnsi="Times New Roman"/>
          <w:i/>
        </w:rPr>
        <w:t>sentido</w:t>
      </w:r>
      <w:r w:rsidRPr="00827BF3">
        <w:rPr>
          <w:rFonts w:ascii="Times New Roman" w:hAnsi="Times New Roman"/>
        </w:rPr>
        <w:t xml:space="preserve"> a sociedade. Desta vez, notou a sua presença e também, em contraponto, a indiferença de muitas outras mães que lhe perguntavam porque ela se misturava com os anarquistas. Perguntava-se a si mesma, segundo disse, como era possível não sentir aquela rara experiência de solidariedade activamente partilhada e alargada. Durante 3 meses alguns activistas, entre eles esta senhora, ocuparam-se de organizar e participar em reuniões públicas com o objectivo declarado de encontrar as melhores formas de evitar novos abusos de poder. Apesar de inconsequente, no imediato, tal actividade foi avaliada positivamente pela entrevistada.</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Activistas mais antigos testemunharam que este surto de indignação mobilizou menos gente do que acontecimentos anteriores, alguns anos antes. A intensidade, a persistência e o volume da expressão da solidariedade em Dezembro de 2008 não teria ocorrido pela primeira vez, nem teria sido a mais forte. Acontece que anteriormente a nossa entrevistada não se terá dado conta da mobilização social que outros, perto de si, viveram.</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Sociedade, para uns, é uma experiência magnífica de confiança e fé nas virtudes humanas. Para outros, sociedade é uma experiência que se deve evitar (como disse a senhora Thatcher, “there is no such thing as society”).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Sociedade será, portanto, uma experiência extraordinária (positiva ou negativa). Mas também é uma experiência quotidiana. Os sociólogos estão entre os que vivem nesta última condição (pelo menos formalmente). Porém, não chegaram a consenso sobre o que efectivamente seja a sociedade. Por exemplo, Polany e Gramscy, retomados por Burawoy,</w:t>
      </w:r>
      <w:r w:rsidRPr="00827BF3">
        <w:rPr>
          <w:rStyle w:val="Refdenotaderodap"/>
          <w:rFonts w:ascii="Times New Roman" w:hAnsi="Times New Roman"/>
        </w:rPr>
        <w:footnoteReference w:id="1"/>
      </w:r>
      <w:r w:rsidRPr="00827BF3">
        <w:rPr>
          <w:rFonts w:ascii="Times New Roman" w:hAnsi="Times New Roman"/>
        </w:rPr>
        <w:t xml:space="preserve"> tomam sociedade por sinónimo de sociedade civil, fenómeno emergente no fim do século XIX nos países desenvolvidos, por oposição ao Estado e ao Mercado. Mas há também quem imagine a sociedade como um fenómeno tão antigo quanto a humanidade, tão antigo quanto as interacções entre pessoas ou, pelo menos, quanto a emergência das linguagens e das tecnologias, cf Durkheim (2002/1912).</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Cabe à sociologia, e não apenas a cada sociólogo, definir o que se deve entender por sociedade, sem o que a cientificidade desta ciência social se manterá questionável. Cabe aos sociólogos, tomados individualmente, não iludir a questão, cf Chernilo (2006). E trabalhá-la até se chegar a hipóteses menos apartadas entre si, como aquelas que opõem actualmente os estudos das estruturas sociais dos estudos do quotidiano e abrem campo às divagações pós-modernistas.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A pertinência da sociologia, enquanto ciência, pode ser autonomizada das conjunturas políticas e culturais. Tanto em períodos revolucionários como em tempos de normalização, esteja ou não a questão social no topo da agenda política, a sociologia pode ser capaz de apresentar com clareza e pertinência resilientes o seu objecto de estudo principal, de forma reflexiva, compreensível e credível. Do mesmo modo que das diferentes formas de vida se podem </w:t>
      </w:r>
      <w:r w:rsidRPr="00827BF3">
        <w:rPr>
          <w:rFonts w:ascii="Times New Roman" w:hAnsi="Times New Roman"/>
        </w:rPr>
        <w:lastRenderedPageBreak/>
        <w:t>explorar as semelhanças morfológicas e funcionais (cabeça, olhos, respiração, digestão) e a diversidade dos fenótipos, também das diferentes formas sociais, a par das diversidades culturais, podem-se identificar as similitudes da natureza humana, distintiva de todos os outros animais. Os estados de espírito elementares, propomos, serão os átomos da nossa comum natureza social.</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(Manuel Castels (2003) desenvolveu a teoria social tendo em conta a nova cultura tecnológica. A sociedade transformou-se numa sociedade em rede, à semelhança da internet. Porém a cultura sociológica continua avessa a lidar com tecnologias, não apenas por deformação cultural dos profissionais mas também por razões epistemológicas denunciadas por Bruno Latour (2007/05). Para todos os efeitos, os instrumentos e sistemas tecnológicos são-nos apresentados como estranhos à sociedade e fora do âmbito da sociologia, ainda que sejam precisamente o que distingue as sociedades humanas das das formigas ou abelhas. Qual é, afinal, a verdadeira natureza social humana?)</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Os avanços das ciências permitem voltar à ideia de a sociedade existir mesmo, substantivamente, e não ser uma mera referência a uma perspectiva subjectiva sobre o real. À crítica da reificação da sociedade pode contrapor-se a investigação para encontrar medidas da presença da sociedade nos corpos, através de métodos de observação, identificação, classificação e apresentação geralmente até agora não utilizados em sociologia (por exemplo, a imagiologia – ressonância magnética e tomografia por emissão de positrões –, a neurofisiologia – eletroencefalograma espontâneos </w:t>
      </w:r>
      <w:r w:rsidRPr="00827BF3">
        <w:rPr>
          <w:rFonts w:ascii="Times New Roman" w:hAnsi="Times New Roman"/>
          <w:i/>
        </w:rPr>
        <w:t>online</w:t>
      </w:r>
      <w:r w:rsidRPr="00827BF3">
        <w:rPr>
          <w:rFonts w:ascii="Times New Roman" w:hAnsi="Times New Roman"/>
        </w:rPr>
        <w:t xml:space="preserve"> e electromiograma –, a audiologia,</w:t>
      </w:r>
      <w:r w:rsidRPr="00827BF3">
        <w:rPr>
          <w:rStyle w:val="Refdenotaderodap"/>
          <w:rFonts w:ascii="Times New Roman" w:hAnsi="Times New Roman"/>
        </w:rPr>
        <w:footnoteReference w:id="2"/>
      </w:r>
      <w:r w:rsidRPr="00827BF3">
        <w:rPr>
          <w:rFonts w:ascii="Times New Roman" w:hAnsi="Times New Roman"/>
        </w:rPr>
        <w:t xml:space="preserve"> a manipulação de hormonas – doseamento de neuromediadores e neurotransmissores – serotonina, adrenalina, aceticolina, dopamina, endorfina, GABA – a identificação das emoções através do estudo da face), mas que só podem ser mobilizados a partir da experiência actual de outras ciências, práticas profissionais e metodologias.</w:t>
      </w:r>
    </w:p>
    <w:p w:rsidR="001656B1" w:rsidRPr="00827BF3" w:rsidRDefault="001656B1" w:rsidP="001656B1">
      <w:pPr>
        <w:spacing w:before="240" w:after="0" w:line="280" w:lineRule="exact"/>
        <w:jc w:val="both"/>
        <w:outlineLvl w:val="1"/>
        <w:rPr>
          <w:rFonts w:ascii="Times New Roman" w:hAnsi="Times New Roman"/>
        </w:rPr>
      </w:pPr>
      <w:r w:rsidRPr="00827BF3">
        <w:rPr>
          <w:rFonts w:ascii="Times New Roman" w:hAnsi="Times New Roman"/>
        </w:rPr>
        <w:t>A sociedade é uma coisa</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A sociedade é um determinado nível da realidade, nem infinitamente grande nem infinitamente pequeno; superior ao nível celular, ao nível orgânico e ao nível do comportamento, e inferior aos níveis espiritual ou cósmico.</w:t>
      </w:r>
      <w:r w:rsidRPr="00827BF3">
        <w:rPr>
          <w:rStyle w:val="Refdenotaderodap"/>
          <w:rFonts w:ascii="Times New Roman" w:hAnsi="Times New Roman"/>
        </w:rPr>
        <w:t xml:space="preserve"> </w:t>
      </w:r>
      <w:r w:rsidRPr="00827BF3">
        <w:rPr>
          <w:rStyle w:val="Refdenotaderodap"/>
          <w:rFonts w:ascii="Times New Roman" w:hAnsi="Times New Roman"/>
        </w:rPr>
        <w:footnoteReference w:id="3"/>
      </w:r>
      <w:r w:rsidRPr="00827BF3">
        <w:rPr>
          <w:rFonts w:ascii="Times New Roman" w:hAnsi="Times New Roman"/>
        </w:rPr>
        <w:t xml:space="preserve"> Como um abcesso, em tempos de crise a sociedade pode torna-se extremamente sensível e sempre presente, invadindo espaços/tempo anteriormente imunes à acção social. Os símbolos e a espiritualidade tornam-se mais íntimos das sociedades e, também, mais influentes nela. Os corpos vivem mais intensamente a vida social e dão-se à sociedade, por vezes em sacrifício.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Nos períodos históricos em que a questão social emerge, a sociedade extravasa para os campos da economia e da política, anteriormente guardados pelo Estado e pelas classes dominantes. Nos espaço/tempo laboral e nos gabinetes ocupados pelas classes superiores passam a fazer-se sentir a solidariedade com quem não está presente mas é representada de alguma forma (de que forma? Eis uma questão a investigar melhor). A distinção entre campos sociais anteriormente bem delimitados, o estrutural e o quotidiano, desvanece-se. Agentes sociais mantidos politicamente apartados em períodos de normalização organizam-se numa mesma acção – o poder “cai na rua” e as instituições podem ser obrigadas e tornarem-se mais transparentes: </w:t>
      </w:r>
      <w:r w:rsidRPr="00827BF3">
        <w:rPr>
          <w:rFonts w:ascii="Times New Roman" w:hAnsi="Times New Roman"/>
        </w:rPr>
        <w:lastRenderedPageBreak/>
        <w:t>ocorrem as revoluções. A razão revela-se um regime de justificação injusto e as emoções tornam-se guias para a emergência de novas razões.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Não são só as consequências da acção social que são materiais. As próprias dinâmicas sociais existem e são constituídas por pessoas diferentes, materialmente diferentes, das pessoas que viveram em sociedades normalizadas, pouco tempo antes. Em que é que são diferentes de si próprias, umas semanas antes? Em que é diferente a sociedade agora daquela que deixou de ser pouco antes?</w:t>
      </w:r>
    </w:p>
    <w:p w:rsidR="001656B1" w:rsidRPr="00827BF3" w:rsidRDefault="001656B1" w:rsidP="001656B1">
      <w:pPr>
        <w:spacing w:before="240" w:after="0" w:line="280" w:lineRule="exact"/>
        <w:jc w:val="both"/>
        <w:outlineLvl w:val="1"/>
        <w:rPr>
          <w:rFonts w:ascii="Times New Roman" w:hAnsi="Times New Roman"/>
        </w:rPr>
      </w:pPr>
      <w:r w:rsidRPr="00827BF3">
        <w:rPr>
          <w:rFonts w:ascii="Times New Roman" w:hAnsi="Times New Roman"/>
        </w:rPr>
        <w:t>Indivíduo e sociedade: substância e forma?</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A ficção científica imaginou uma sociedade sem indivíduos: uma sociedade constituída por cyborgs, quando a humanidade que os construiu já teria sido extinta. A cibernética faz equivaler os comportamentos de máquinas aos dos seres vivos e pretende simular as relações sociais humanas em computadores. A engenharia está a descobrir materiais biológicos para tornar os computadores mais rápidos e baratos. Das máquinas bio-electrónicas esperam-se novidades radicais.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Como diria Simmel, a sociedade é uma referência cognitiva a formas que sempre acompanham as substâncias (indivíduos de carne e osso) mas que lhes são, ao mesmo tempo, oponíveis (já que os cyborg, por hipótese, serão capazes de produzir as mesmas formas sem substância). Neste sentido, a sociedade seria uma produção cultural humana que, tal como qualquer outra obra de arte ou conceito, pode ser autonomizada em relação às suas condições de produção e apresentada como um ser independente, por mérito próprio. A este tipo de formulação contrapõe-se neste artigo, por um lado, a necessidade de tomar o todo (forma e substância; espírito e corpo) como objecto de estudo e, por outro lado, demarcar o âmbito empírico do objecto da sociologia como um dos níveis da realidade, em termos de espaço/tempo.</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Todas as substâncias têm uma forma através da qual são reconhecidas e se exprimem perante os observadores e o meio envolvente. Cada substância adopta diversas formas, conforme o ponto de observação e as condições ambientes: as substâncias inertes assumem diferentes estados (gasoso, líquido, plasma, sólido). A matéria viva dispõe de um menu de formas mais diversificado que a matéria inerte, mas maiores limitações em mudar de estado: terá que manter-se em estado de plasma. Num meio capaz de reduzir a instabilidade cósmica, as formas de vida explodem, seja através da evolução das espécies, seja através do desenvolvimento da cada espécie. Em particular, no caso dos seres humanos, desenvolvendo também sociedades. Cuja vantagem comparativa é a maior capacidade de adaptação ao meio, criando um nível espácio-temporal extraordinário e muito elevado relativamente aos restantes animais. Tal nível de vivências permite às pessoas em sociedade estabelecerem estados sociais (ao mesmo tempo institucionais, emocionais, cognitivos e mentais, cf. Elias (1990/1939)) configurados a partir das potencialidades naturais possibilitadas pelos genes e pelo modo de desenvolvimento da espécie – no caso humano, um longo período de gestação (sobretudo do cérebro) e correspondente socialização antes da idade adulta.</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As potencialidades de transformação interior da vida envolvem estados emocionais. Sabe-se, através da introspecção e do mútuo reconhecimento entre humanos (e por extensão a outros animais), que para além das formas sociais há emergências fisiológico-emocionais capazes de estimularem ou inibirem certos comportamentos, de acasalamento ou de tomada de poder, por exemplo. Como também se sabe que é possível a cada ser vivo, educado, regular os comportamentos e, desse modo, regular também as emoções, inibindo-as ou desencadeando-as voluntariamente, interrompendo o seu curso a certa altura ou simulando os sinais exteriores de estar a viver uma emoção, sem que de facto essa emoção tenha sido espoletada fisiologicamente primeiro. Isto é, emoções e comportamentos funcionam entre si como expressão e formas de </w:t>
      </w:r>
      <w:r w:rsidRPr="00827BF3">
        <w:rPr>
          <w:rFonts w:ascii="Times New Roman" w:hAnsi="Times New Roman"/>
        </w:rPr>
        <w:lastRenderedPageBreak/>
        <w:t xml:space="preserve">controlo, sem que se saiba efectivamente com toda a clareza a qual delas deva ser atribuída a característica de substância ou de forma. Até porque trocam de funções conforme as conjunturas.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Nos últimos anos António Damásio, neuro-cirurgião e investigador, notabilizou-se por ter desenvolvido a ideia de as emoções serem substâncias; serem experiências associáveis directamente a certos processos fisiológicos bem definidos, em vez de imponderáveis sopros, almas ou espíritos, como são vulgarmente entendidas. Esse trabalho só foi possível na medida em que o autor partiu precisamente do princípio de não haver solução de continuidade entre as experiências corporais e as experiências mentais. Estas últimas são o resultado prático, a determinado nível da realidade, da existência das primeiras.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Sem um padrão homeostático suficientemente poderoso para ser capaz de manter a solidariedade entre todas as células de um corpo de um ser vivo, o corpo não teria existência. Esse padrão homeostático não tem nem um lugar físico nem um lugar mental. É uma emanação da vida que desse modo se auto-regula, dentro dos limites próprios da espécie. Limites esses adaptados às circunstâncias, por força de processos de adaptação ao meio e de expansão dos parâmetros de conforto de cada indivíduo e da espécie, que no caso das pessoas inclui as potencialidades sociais de organização, educação, construção, etc. Através dos processos homeostáticos, o meio e a experiência da vida dialogam com os genes (alvo de estudo da epigenética), usando as potencialidades em cada momento mais favoráveis à adaptação e também à criação de condições de manipulação do meio.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 Os seres humanos, por exemplo, tiveram condições para descobrir como desenvolver extraordinariamente as tecnologias e, desse modo, adaptaram o mundo às suas necessidades. Não é certo, nesta fase histórica, se tal adaptação do meio não poderá vir a produzir riscos mais elevados à sobrevivência da espécie do que aqueles que conseguiu superar. O que significa que, ao contrário do que gostamos de pensar, os níveis mais elevados de intervenção social podem não ser os mais inteligentes nem os mais eficazes.</w:t>
      </w:r>
    </w:p>
    <w:p w:rsidR="001656B1" w:rsidRPr="00827BF3" w:rsidRDefault="001656B1" w:rsidP="001656B1">
      <w:pPr>
        <w:spacing w:before="240" w:after="0" w:line="280" w:lineRule="exact"/>
        <w:jc w:val="both"/>
        <w:outlineLvl w:val="1"/>
        <w:rPr>
          <w:rFonts w:ascii="Times New Roman" w:hAnsi="Times New Roman"/>
        </w:rPr>
      </w:pPr>
      <w:r w:rsidRPr="00827BF3">
        <w:rPr>
          <w:rFonts w:ascii="Times New Roman" w:hAnsi="Times New Roman"/>
        </w:rPr>
        <w:t>Produção de evidência</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A evidência da existência de estados de espírito sociais pode ser produzida rudimentarmente, comparando um modelo de referência previamente preparado com os dados obtidos a partir de um inquérito por questionário na aula. Eis uma breve descrição de um exemplo.</w:t>
      </w:r>
      <w:r w:rsidRPr="00827BF3">
        <w:rPr>
          <w:rStyle w:val="Refdenotaderodap"/>
          <w:rFonts w:ascii="Times New Roman" w:hAnsi="Times New Roman"/>
        </w:rPr>
        <w:footnoteReference w:id="4"/>
      </w:r>
      <w:r w:rsidRPr="00827BF3">
        <w:rPr>
          <w:rFonts w:ascii="Times New Roman" w:hAnsi="Times New Roman"/>
        </w:rPr>
        <w:t xml:space="preserve"> </w:t>
      </w:r>
    </w:p>
    <w:p w:rsidR="00F15B38" w:rsidRDefault="001656B1" w:rsidP="001656B1">
      <w:pPr>
        <w:spacing w:before="120" w:after="0" w:line="280" w:lineRule="exact"/>
        <w:jc w:val="both"/>
        <w:rPr>
          <w:rFonts w:ascii="Times New Roman" w:hAnsi="Times New Roman"/>
        </w:rPr>
      </w:pPr>
      <w:r w:rsidRPr="00827BF3">
        <w:rPr>
          <w:rFonts w:ascii="Times New Roman" w:hAnsi="Times New Roman"/>
        </w:rPr>
        <w:t>Para referência utilizou-se as respostas a 10 perguntas (em anexo) de uma amostra de conveniência constituída por 512 inquéritos válidos.</w:t>
      </w:r>
      <w:r w:rsidRPr="00827BF3">
        <w:rPr>
          <w:rStyle w:val="Refdenotaderodap"/>
          <w:rFonts w:ascii="Times New Roman" w:hAnsi="Times New Roman"/>
        </w:rPr>
        <w:footnoteReference w:id="5"/>
      </w:r>
      <w:r w:rsidRPr="00827BF3">
        <w:rPr>
          <w:rFonts w:ascii="Times New Roman" w:hAnsi="Times New Roman"/>
        </w:rPr>
        <w:t xml:space="preserve"> O tema era como tratar pessoas responsáveis por actos criminosos.</w:t>
      </w:r>
    </w:p>
    <w:p w:rsidR="00F15B38" w:rsidRDefault="00F15B38">
      <w:pPr>
        <w:spacing w:after="0" w:line="240" w:lineRule="auto"/>
        <w:rPr>
          <w:rFonts w:ascii="Times New Roman" w:hAnsi="Times New Roman"/>
        </w:rPr>
      </w:pPr>
      <w:r>
        <w:rPr>
          <w:rFonts w:ascii="Times New Roman" w:hAnsi="Times New Roman"/>
        </w:rPr>
        <w:br w:type="page"/>
      </w:r>
    </w:p>
    <w:p w:rsidR="00611EBF" w:rsidRDefault="001656B1" w:rsidP="001656B1">
      <w:pPr>
        <w:spacing w:before="120" w:after="0" w:line="280" w:lineRule="exact"/>
        <w:jc w:val="both"/>
      </w:pPr>
      <w:r w:rsidRPr="00827BF3">
        <w:rPr>
          <w:rFonts w:ascii="Times New Roman" w:hAnsi="Times New Roman"/>
        </w:rPr>
        <w:lastRenderedPageBreak/>
        <w:t>Figura 1. Sensibilidades face à política penal, produzidas por análise factorial de correspondências (SPSS- dimension reduction/optimal scaling)</w:t>
      </w:r>
    </w:p>
    <w:p w:rsidR="001656B1" w:rsidRDefault="00384FB3" w:rsidP="00611EBF">
      <w:pPr>
        <w:jc w:val="both"/>
      </w:pPr>
      <w:r>
        <w:rPr>
          <w:noProof/>
          <w:lang w:eastAsia="pt-PT"/>
        </w:rPr>
        <w:drawing>
          <wp:inline distT="0" distB="0" distL="0" distR="0">
            <wp:extent cx="5400675" cy="4314825"/>
            <wp:effectExtent l="19050" t="0" r="9525" b="0"/>
            <wp:docPr id="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6" cstate="print"/>
                    <a:srcRect/>
                    <a:stretch>
                      <a:fillRect/>
                    </a:stretch>
                  </pic:blipFill>
                  <pic:spPr bwMode="auto">
                    <a:xfrm>
                      <a:off x="0" y="0"/>
                      <a:ext cx="5400675" cy="4314825"/>
                    </a:xfrm>
                    <a:prstGeom prst="rect">
                      <a:avLst/>
                    </a:prstGeom>
                    <a:noFill/>
                    <a:ln w="9525">
                      <a:noFill/>
                      <a:miter lim="800000"/>
                      <a:headEnd/>
                      <a:tailEnd/>
                    </a:ln>
                  </pic:spPr>
                </pic:pic>
              </a:graphicData>
            </a:graphic>
          </wp:inline>
        </w:drawing>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As variáveis factoriais, por ordem decrescente de importância, são: na horizontal a) a distinção entre as massas que seguem a moral dominante e as minorias que ora defendem mais dureza ora mais tolerância para com os condenados; na vertical b) a distinção dos que entendem ser ao Estado que cabe a responsabilidade principal de tratar dos problemas decorrentes da perpetração de crimes e os que entendem caber aos privados (sobretudo às famílias dos condenados) uma tal função. A concentração junto da origem dos eixos revela a dificuldade da generalidade dos inquiridos em aderirem a uma posição significante.</w:t>
      </w:r>
    </w:p>
    <w:p w:rsidR="00F15B38" w:rsidRDefault="001656B1" w:rsidP="001656B1">
      <w:pPr>
        <w:spacing w:before="120" w:after="0" w:line="280" w:lineRule="exact"/>
        <w:jc w:val="both"/>
        <w:rPr>
          <w:rFonts w:ascii="Times New Roman" w:hAnsi="Times New Roman"/>
        </w:rPr>
      </w:pPr>
      <w:r w:rsidRPr="00827BF3">
        <w:rPr>
          <w:rFonts w:ascii="Times New Roman" w:hAnsi="Times New Roman"/>
        </w:rPr>
        <w:t xml:space="preserve">Com este padrão de referência, ainda que apenas válido para a amostra recolhida, há uma base de comparação para trabalhar o tema com as turmas. No caso, foi utilizado um acto de violência de guardas prisionais contra um prisioneiro, apresentado a partir de um vídeo disponibilizado por um jornal diário </w:t>
      </w:r>
      <w:r w:rsidRPr="00827BF3">
        <w:rPr>
          <w:rFonts w:ascii="Times New Roman" w:hAnsi="Times New Roman"/>
          <w:i/>
        </w:rPr>
        <w:t>online</w:t>
      </w:r>
      <w:r w:rsidRPr="00827BF3">
        <w:rPr>
          <w:rFonts w:ascii="Times New Roman" w:hAnsi="Times New Roman"/>
        </w:rPr>
        <w:t>.</w:t>
      </w:r>
      <w:r w:rsidRPr="00827BF3">
        <w:rPr>
          <w:rStyle w:val="Refdenotaderodap"/>
          <w:rFonts w:ascii="Times New Roman" w:hAnsi="Times New Roman"/>
        </w:rPr>
        <w:footnoteReference w:id="6"/>
      </w:r>
      <w:r w:rsidRPr="00827BF3">
        <w:rPr>
          <w:rFonts w:ascii="Times New Roman" w:hAnsi="Times New Roman"/>
        </w:rPr>
        <w:t xml:space="preserve"> O docente perguntou aos estudantes qual das personagens do vídeo prefeririam encarnar, num tea</w:t>
      </w:r>
      <w:r w:rsidR="00F15B38">
        <w:rPr>
          <w:rFonts w:ascii="Times New Roman" w:hAnsi="Times New Roman"/>
        </w:rPr>
        <w:t>tro. Os resultados foram estes:</w:t>
      </w:r>
    </w:p>
    <w:p w:rsidR="00F15B38" w:rsidRDefault="00F15B38">
      <w:pPr>
        <w:spacing w:after="0" w:line="240" w:lineRule="auto"/>
        <w:rPr>
          <w:rFonts w:ascii="Times New Roman" w:hAnsi="Times New Roman"/>
        </w:rPr>
      </w:pPr>
      <w:r>
        <w:rPr>
          <w:rFonts w:ascii="Times New Roman" w:hAnsi="Times New Roman"/>
        </w:rPr>
        <w:br w:type="page"/>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lastRenderedPageBreak/>
        <w:t>Tabela 1. Disponibilidade das turmas para encenar a violência</w:t>
      </w:r>
    </w:p>
    <w:tbl>
      <w:tblPr>
        <w:tblW w:w="5681" w:type="dxa"/>
        <w:jc w:val="center"/>
        <w:tblInd w:w="-767" w:type="dxa"/>
        <w:tblCellMar>
          <w:left w:w="70" w:type="dxa"/>
          <w:right w:w="70" w:type="dxa"/>
        </w:tblCellMar>
        <w:tblLook w:val="04A0"/>
      </w:tblPr>
      <w:tblGrid>
        <w:gridCol w:w="837"/>
        <w:gridCol w:w="1620"/>
        <w:gridCol w:w="296"/>
        <w:gridCol w:w="680"/>
        <w:gridCol w:w="296"/>
        <w:gridCol w:w="680"/>
        <w:gridCol w:w="296"/>
        <w:gridCol w:w="680"/>
        <w:gridCol w:w="296"/>
      </w:tblGrid>
      <w:tr w:rsidR="001656B1" w:rsidRPr="00827BF3" w:rsidTr="00C06A67">
        <w:trPr>
          <w:gridBefore w:val="1"/>
          <w:wBefore w:w="837" w:type="dxa"/>
          <w:trHeight w:val="300"/>
          <w:jc w:val="center"/>
        </w:trPr>
        <w:tc>
          <w:tcPr>
            <w:tcW w:w="1916"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lang w:eastAsia="pt-PT"/>
              </w:rPr>
            </w:pPr>
          </w:p>
        </w:tc>
        <w:tc>
          <w:tcPr>
            <w:tcW w:w="976"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b/>
                <w:color w:val="000000"/>
                <w:lang w:eastAsia="pt-PT"/>
              </w:rPr>
            </w:pPr>
            <w:r w:rsidRPr="00827BF3">
              <w:rPr>
                <w:rFonts w:ascii="Times New Roman" w:eastAsia="Times New Roman" w:hAnsi="Times New Roman"/>
                <w:b/>
                <w:color w:val="000000"/>
                <w:lang w:eastAsia="pt-PT"/>
              </w:rPr>
              <w:t>Caso A</w:t>
            </w:r>
          </w:p>
        </w:tc>
        <w:tc>
          <w:tcPr>
            <w:tcW w:w="976" w:type="dxa"/>
            <w:gridSpan w:val="2"/>
            <w:vAlign w:val="bottom"/>
            <w:hideMark/>
          </w:tcPr>
          <w:p w:rsidR="001656B1" w:rsidRPr="00827BF3" w:rsidRDefault="001656B1" w:rsidP="00C06A67">
            <w:pPr>
              <w:spacing w:before="120" w:after="0" w:line="280" w:lineRule="exact"/>
              <w:jc w:val="both"/>
              <w:rPr>
                <w:rFonts w:ascii="Times New Roman" w:eastAsia="Times New Roman" w:hAnsi="Times New Roman"/>
                <w:b/>
                <w:color w:val="000000"/>
                <w:lang w:eastAsia="pt-PT"/>
              </w:rPr>
            </w:pPr>
            <w:r w:rsidRPr="00827BF3">
              <w:rPr>
                <w:rFonts w:ascii="Times New Roman" w:eastAsia="Times New Roman" w:hAnsi="Times New Roman"/>
                <w:b/>
                <w:color w:val="000000"/>
                <w:lang w:eastAsia="pt-PT"/>
              </w:rPr>
              <w:t>Caso B</w:t>
            </w:r>
          </w:p>
        </w:tc>
        <w:tc>
          <w:tcPr>
            <w:tcW w:w="976" w:type="dxa"/>
            <w:gridSpan w:val="2"/>
          </w:tcPr>
          <w:p w:rsidR="001656B1" w:rsidRPr="00827BF3" w:rsidRDefault="001656B1" w:rsidP="00C06A67">
            <w:pPr>
              <w:spacing w:before="120" w:after="0" w:line="280" w:lineRule="exact"/>
              <w:jc w:val="both"/>
              <w:rPr>
                <w:rFonts w:ascii="Times New Roman" w:eastAsia="Times New Roman" w:hAnsi="Times New Roman"/>
                <w:b/>
                <w:color w:val="000000"/>
                <w:lang w:eastAsia="pt-PT"/>
              </w:rPr>
            </w:pPr>
          </w:p>
          <w:p w:rsidR="001656B1" w:rsidRPr="00827BF3" w:rsidRDefault="001656B1" w:rsidP="00C06A67">
            <w:pPr>
              <w:spacing w:before="120" w:after="0" w:line="280" w:lineRule="exact"/>
              <w:jc w:val="both"/>
              <w:rPr>
                <w:rFonts w:ascii="Times New Roman" w:eastAsia="Times New Roman" w:hAnsi="Times New Roman"/>
                <w:b/>
                <w:color w:val="000000"/>
                <w:lang w:eastAsia="pt-PT"/>
              </w:rPr>
            </w:pPr>
            <w:r w:rsidRPr="00827BF3">
              <w:rPr>
                <w:rFonts w:ascii="Times New Roman" w:eastAsia="Times New Roman" w:hAnsi="Times New Roman"/>
                <w:b/>
                <w:color w:val="000000"/>
                <w:lang w:eastAsia="pt-PT"/>
              </w:rPr>
              <w:t>Caso C</w:t>
            </w:r>
          </w:p>
        </w:tc>
      </w:tr>
      <w:tr w:rsidR="001656B1" w:rsidRPr="00827BF3" w:rsidTr="00C06A67">
        <w:trPr>
          <w:gridAfter w:val="1"/>
          <w:wAfter w:w="296" w:type="dxa"/>
          <w:trHeight w:val="300"/>
          <w:jc w:val="center"/>
        </w:trPr>
        <w:tc>
          <w:tcPr>
            <w:tcW w:w="2457"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preso</w:t>
            </w:r>
          </w:p>
        </w:tc>
        <w:tc>
          <w:tcPr>
            <w:tcW w:w="976"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10</w:t>
            </w:r>
          </w:p>
        </w:tc>
        <w:tc>
          <w:tcPr>
            <w:tcW w:w="976" w:type="dxa"/>
            <w:gridSpan w:val="2"/>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5</w:t>
            </w:r>
          </w:p>
        </w:tc>
        <w:tc>
          <w:tcPr>
            <w:tcW w:w="976" w:type="dxa"/>
            <w:gridSpan w:val="2"/>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4</w:t>
            </w:r>
          </w:p>
        </w:tc>
      </w:tr>
      <w:tr w:rsidR="001656B1" w:rsidRPr="00827BF3" w:rsidTr="00C06A67">
        <w:trPr>
          <w:gridAfter w:val="1"/>
          <w:wAfter w:w="296" w:type="dxa"/>
          <w:trHeight w:val="300"/>
          <w:jc w:val="center"/>
        </w:trPr>
        <w:tc>
          <w:tcPr>
            <w:tcW w:w="2457"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guardas mais violentos</w:t>
            </w:r>
          </w:p>
        </w:tc>
        <w:tc>
          <w:tcPr>
            <w:tcW w:w="976"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2</w:t>
            </w:r>
          </w:p>
        </w:tc>
        <w:tc>
          <w:tcPr>
            <w:tcW w:w="976" w:type="dxa"/>
            <w:gridSpan w:val="2"/>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6</w:t>
            </w:r>
          </w:p>
        </w:tc>
        <w:tc>
          <w:tcPr>
            <w:tcW w:w="976" w:type="dxa"/>
            <w:gridSpan w:val="2"/>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6</w:t>
            </w:r>
          </w:p>
        </w:tc>
      </w:tr>
      <w:tr w:rsidR="001656B1" w:rsidRPr="00827BF3" w:rsidTr="00C06A67">
        <w:trPr>
          <w:gridAfter w:val="1"/>
          <w:wAfter w:w="296" w:type="dxa"/>
          <w:trHeight w:val="300"/>
          <w:jc w:val="center"/>
        </w:trPr>
        <w:tc>
          <w:tcPr>
            <w:tcW w:w="2457"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guardas passivos</w:t>
            </w:r>
          </w:p>
        </w:tc>
        <w:tc>
          <w:tcPr>
            <w:tcW w:w="976"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11</w:t>
            </w:r>
          </w:p>
        </w:tc>
        <w:tc>
          <w:tcPr>
            <w:tcW w:w="976" w:type="dxa"/>
            <w:gridSpan w:val="2"/>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5</w:t>
            </w:r>
          </w:p>
        </w:tc>
        <w:tc>
          <w:tcPr>
            <w:tcW w:w="976" w:type="dxa"/>
            <w:gridSpan w:val="2"/>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6</w:t>
            </w:r>
          </w:p>
        </w:tc>
      </w:tr>
      <w:tr w:rsidR="001656B1" w:rsidRPr="00827BF3" w:rsidTr="00C06A67">
        <w:trPr>
          <w:gridAfter w:val="1"/>
          <w:wAfter w:w="296" w:type="dxa"/>
          <w:trHeight w:val="300"/>
          <w:jc w:val="center"/>
        </w:trPr>
        <w:tc>
          <w:tcPr>
            <w:tcW w:w="2457"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enfermeiro</w:t>
            </w:r>
          </w:p>
        </w:tc>
        <w:tc>
          <w:tcPr>
            <w:tcW w:w="976"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6</w:t>
            </w:r>
          </w:p>
        </w:tc>
        <w:tc>
          <w:tcPr>
            <w:tcW w:w="976" w:type="dxa"/>
            <w:gridSpan w:val="2"/>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2</w:t>
            </w:r>
          </w:p>
        </w:tc>
        <w:tc>
          <w:tcPr>
            <w:tcW w:w="976" w:type="dxa"/>
            <w:gridSpan w:val="2"/>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6</w:t>
            </w:r>
          </w:p>
        </w:tc>
      </w:tr>
      <w:tr w:rsidR="001656B1" w:rsidRPr="00827BF3" w:rsidTr="00C06A67">
        <w:trPr>
          <w:gridAfter w:val="1"/>
          <w:wAfter w:w="296" w:type="dxa"/>
          <w:trHeight w:val="300"/>
          <w:jc w:val="center"/>
        </w:trPr>
        <w:tc>
          <w:tcPr>
            <w:tcW w:w="2457"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outros</w:t>
            </w:r>
          </w:p>
        </w:tc>
        <w:tc>
          <w:tcPr>
            <w:tcW w:w="976"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5</w:t>
            </w:r>
          </w:p>
        </w:tc>
        <w:tc>
          <w:tcPr>
            <w:tcW w:w="976" w:type="dxa"/>
            <w:gridSpan w:val="2"/>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8</w:t>
            </w:r>
          </w:p>
        </w:tc>
        <w:tc>
          <w:tcPr>
            <w:tcW w:w="976" w:type="dxa"/>
            <w:gridSpan w:val="2"/>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0</w:t>
            </w:r>
          </w:p>
        </w:tc>
      </w:tr>
      <w:tr w:rsidR="001656B1" w:rsidRPr="00827BF3" w:rsidTr="00C06A67">
        <w:trPr>
          <w:gridAfter w:val="1"/>
          <w:wAfter w:w="296" w:type="dxa"/>
          <w:trHeight w:val="300"/>
          <w:jc w:val="center"/>
        </w:trPr>
        <w:tc>
          <w:tcPr>
            <w:tcW w:w="2457"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Total</w:t>
            </w:r>
          </w:p>
        </w:tc>
        <w:tc>
          <w:tcPr>
            <w:tcW w:w="976" w:type="dxa"/>
            <w:gridSpan w:val="2"/>
            <w:noWrap/>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34</w:t>
            </w:r>
          </w:p>
        </w:tc>
        <w:tc>
          <w:tcPr>
            <w:tcW w:w="976" w:type="dxa"/>
            <w:gridSpan w:val="2"/>
            <w:vAlign w:val="bottom"/>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26</w:t>
            </w:r>
          </w:p>
        </w:tc>
        <w:tc>
          <w:tcPr>
            <w:tcW w:w="976" w:type="dxa"/>
            <w:gridSpan w:val="2"/>
            <w:hideMark/>
          </w:tcPr>
          <w:p w:rsidR="001656B1" w:rsidRPr="00827BF3" w:rsidRDefault="001656B1" w:rsidP="00C06A67">
            <w:pPr>
              <w:spacing w:before="120" w:after="0" w:line="280" w:lineRule="exact"/>
              <w:jc w:val="both"/>
              <w:rPr>
                <w:rFonts w:ascii="Times New Roman" w:eastAsia="Times New Roman" w:hAnsi="Times New Roman"/>
                <w:color w:val="000000"/>
                <w:lang w:eastAsia="pt-PT"/>
              </w:rPr>
            </w:pPr>
            <w:r w:rsidRPr="00827BF3">
              <w:rPr>
                <w:rFonts w:ascii="Times New Roman" w:eastAsia="Times New Roman" w:hAnsi="Times New Roman"/>
                <w:color w:val="000000"/>
                <w:lang w:eastAsia="pt-PT"/>
              </w:rPr>
              <w:t>22</w:t>
            </w:r>
          </w:p>
        </w:tc>
      </w:tr>
    </w:tbl>
    <w:p w:rsidR="001656B1" w:rsidRPr="00827BF3" w:rsidRDefault="001656B1" w:rsidP="001656B1">
      <w:pPr>
        <w:spacing w:before="120" w:after="0" w:line="280" w:lineRule="exact"/>
        <w:jc w:val="both"/>
        <w:rPr>
          <w:rFonts w:ascii="Times New Roman" w:hAnsi="Times New Roman"/>
        </w:rPr>
      </w:pP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Nos casos A e B a apresentação do vídeo antecedeu o inquérito de algumas semanas e houve debate em aula sobre o caso. Os estudantes escreveram num papel a sua resposta que depois entregaram para a contagem. No caso C o inquérito correu no próprio dia de apresentação do vídeo, sem discussão, e o professor perguntou um a um, na presença de todos, pela resposta. Em nenhum dos casos a categoria “outros” era apresentada. Tornou-se necessária </w:t>
      </w:r>
      <w:r w:rsidRPr="00827BF3">
        <w:rPr>
          <w:rFonts w:ascii="Times New Roman" w:hAnsi="Times New Roman"/>
          <w:i/>
        </w:rPr>
        <w:t>a posteriori</w:t>
      </w:r>
      <w:r w:rsidRPr="00827BF3">
        <w:rPr>
          <w:rFonts w:ascii="Times New Roman" w:hAnsi="Times New Roman"/>
        </w:rPr>
        <w:t xml:space="preserve"> para registar as respostas dos alunos que responderam fora do quadro de respostas apresentadas.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No caso A, a maioria da turma preferiu evitar identificar-se com as causas da violência, recusando-se a ser “guarda activo”. Cinco alunos afastaram-se do cenário da acção (“outros” eram personagens não presentes na ocasião da violência). Nos casos B e C, as fontes da violência (os guardas activos) não causam nenhum efeito de repugnância nas respostas. No caso B quase um terço das respostas situa o inquirido fora do quadro de violência apresentado e só duas respostas mencionam o “enfermeiro”. No caso C nenhum inquirido se colocou fora do quadro de respostas apresentadas.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A hipótese de Collins (2008) de que o envolvimento com a violência é difícil é bem suportada no caso A, mas não nos outros casos. No caso A os debates em aula organizados em dias anteriores à altura em que se produziram os dados foram tranquilos e condenatórios da violência. No caso B, os debates foram agitados pela declaração de um dos alunos de ser favorável à pena de morte. O que gerou reacção de alguns dos seus colegas. No caso C não houve debate anterior, visto que o caso foi apresentado imediatamente antes da inquirição.</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As respostas sobre o papel escolhido na dramatização espelham, pois, dinâmicas distintas, que se mesclam entre si não só na consciência individual mas também na consciência social, produzindo configurações mais ou menos estáveis. A) Dinâmicas de submissão, como as registadas na síndrome de Estocolmo (se admitirmos que os estudantes se podem sentir sequestrados em aula pela proposta do professor) ou em experiências psicológicas de Milgram (quando o valor da ciência – ou da pressão moral de quem ordena – é suficiente para levar um vulgar ser humano a torturar outro), representadas nos diferentes casos pelos que admitem deixar-se envolver pela encenação da violência. B) Dinâmicas de proibição, protagonizadas pelos alunos que responderam “guardas mais violentos” e, noutro sentido, pelos que responderam “outros”, escolhendo personagens com algum tipo de autoridade sobre o que se passa nas prisões como ministro, inspector, provedor. C) Dinâmicas de marginalidade, representadas sobretudo pelas respostas capazes de se evadirem do cenário montado, respondendo “outros”. Mas também pelo sacrifício dos que se identificaram com o preso. </w:t>
      </w:r>
      <w:r w:rsidRPr="00827BF3">
        <w:rPr>
          <w:rFonts w:ascii="Times New Roman" w:hAnsi="Times New Roman"/>
        </w:rPr>
        <w:lastRenderedPageBreak/>
        <w:t>Noutro sentido, os que se propuseram fazer de enfermeiro ou os guardas passivos, embora sem saírem da situação ou se oferecerem em sacrifício, recusaram tomar parte da acção.</w:t>
      </w:r>
      <w:r w:rsidRPr="00827BF3">
        <w:rPr>
          <w:rStyle w:val="Refdenotaderodap"/>
          <w:rFonts w:ascii="Times New Roman" w:hAnsi="Times New Roman"/>
        </w:rPr>
        <w:footnoteReference w:id="7"/>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Em resumo: quando de trata de poder, normalmente as pessoas preferem manter-se à distância e deixar as controvérsias para os políticos, sejam eles dominantes ou marginais no regime ou no sistema, como aconteceu no quadro 1. Mas nem sempre se vivem situações de normalidade. Face a uma situação onde há que fazer escolhas, elas dependem da situação social que está criada na altura da tomada de decisão, cf. Moscovici e Woise (1991). Para isso cada pessoa dispõe de várias dinâmicas sociais a que pode solidarizar-se ou não, no mesmo sentido que os genes activam ou bloqueiam as respectivas potencialidades. Às dinâmicas sociais básicas chamamos estados de espírito.</w:t>
      </w:r>
    </w:p>
    <w:p w:rsidR="001656B1" w:rsidRPr="00827BF3" w:rsidRDefault="001656B1" w:rsidP="001656B1">
      <w:pPr>
        <w:spacing w:before="240" w:after="0" w:line="280" w:lineRule="exact"/>
        <w:jc w:val="both"/>
        <w:outlineLvl w:val="1"/>
        <w:rPr>
          <w:rFonts w:ascii="Times New Roman" w:hAnsi="Times New Roman"/>
        </w:rPr>
      </w:pPr>
      <w:r w:rsidRPr="00827BF3">
        <w:rPr>
          <w:rFonts w:ascii="Times New Roman" w:hAnsi="Times New Roman"/>
        </w:rPr>
        <w:t>Estado de espírito é o átomo da vida social</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Socializar exige a mobilização de estados de espírito adequados às circunstâncias. Embora seja cientificamente controverso,</w:t>
      </w:r>
      <w:r w:rsidRPr="00827BF3">
        <w:rPr>
          <w:rStyle w:val="Refdenotaderodap"/>
          <w:rFonts w:ascii="Times New Roman" w:hAnsi="Times New Roman"/>
        </w:rPr>
        <w:footnoteReference w:id="8"/>
      </w:r>
      <w:r w:rsidRPr="00827BF3">
        <w:rPr>
          <w:rFonts w:ascii="Times New Roman" w:hAnsi="Times New Roman"/>
        </w:rPr>
        <w:t xml:space="preserve"> modernizar requer espírito profissional, os filhos reclamam espírito de família, o lazer moderno pede espírito desportivo, e assim por diante, misturando diferentes formas e conteúdos, diferentes pessoas e instituições para atingir o mesmo objectivos altamente abstractos: modernidade, família, fair-play.</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Os corpos e as emoções são substratos das razões de cada um, são </w:t>
      </w:r>
      <w:r w:rsidRPr="00827BF3">
        <w:rPr>
          <w:rFonts w:ascii="Times New Roman" w:hAnsi="Times New Roman"/>
          <w:i/>
        </w:rPr>
        <w:t>elementos homeostáticos</w:t>
      </w:r>
      <w:r w:rsidRPr="00827BF3">
        <w:rPr>
          <w:rFonts w:ascii="Times New Roman" w:hAnsi="Times New Roman"/>
        </w:rPr>
        <w:t xml:space="preserve">. São formas de somatização e de expressão de sistemas de controlo e de condução da convergência instável e problemática das formas de vida inferiores (células modificadas pela evolução) que suportam as formas de vida superiores, através de experiências históricas de tentativa e erro, de sequências de vida e de morte, de sobrevivência e de extinção.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Embora exista uma grande variedade de formas de vida a diferentes níveis da realidade, não se pode dizer que todos os níveis de realidade admitem as mesmas probabilidades de intensidade de vida (a maior parte dos níveis de realidade entre o das moscas e das formigas e o nível dos animais superiores está vazia de experiências de vida). Também não se pode dizer que todas as experiências possíveis são equiprováveis, pois as soluções fisiológicas, musculares e esqueléticas desenhadas pela evolução limitam objectivamente os leques de experiências vitais.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Como no átomo, cada estado de espírito elementar é constituído por vários elementos inter-actuantes, cada um activo a seu nível bem distinto e organizados segundo formas típicas, a registar, classificar e entender pela sociologia. </w:t>
      </w:r>
    </w:p>
    <w:p w:rsidR="001656B1" w:rsidRDefault="001656B1" w:rsidP="001656B1">
      <w:pPr>
        <w:spacing w:before="120" w:after="0" w:line="280" w:lineRule="exact"/>
        <w:jc w:val="both"/>
        <w:rPr>
          <w:rFonts w:ascii="Times New Roman" w:hAnsi="Times New Roman"/>
        </w:rPr>
      </w:pPr>
      <w:r w:rsidRPr="00827BF3">
        <w:rPr>
          <w:rFonts w:ascii="Times New Roman" w:hAnsi="Times New Roman"/>
        </w:rPr>
        <w:t>Como aconteceu com os átomos, a identificação dos estados de espírito, a unidade mínima da sociabilidade, será tanto mais fácil de imaginar quanto for possível atribuir-lhe conteúdo empírico. Mesmo se, afinal, se venha a descobrir que o estado de espírito seja sobretudo constituído de espaço, de distância (como o que medeia entre a órbita electrónica e o núcleo atómico). A prioridade é, portanto, organizar a observação sistemática indispensável à concretização de um quadro de referências estável – como a tabela periódica na química – e independente das conjunturas.</w:t>
      </w:r>
    </w:p>
    <w:p w:rsidR="00F15B38" w:rsidRDefault="00F15B38" w:rsidP="001656B1">
      <w:pPr>
        <w:spacing w:before="120" w:after="0" w:line="280" w:lineRule="exact"/>
        <w:jc w:val="both"/>
        <w:rPr>
          <w:rFonts w:ascii="Times New Roman" w:hAnsi="Times New Roman"/>
        </w:rPr>
      </w:pPr>
    </w:p>
    <w:p w:rsidR="00F15B38" w:rsidRPr="00827BF3" w:rsidRDefault="00F15B38" w:rsidP="001656B1">
      <w:pPr>
        <w:spacing w:before="120" w:after="0" w:line="280" w:lineRule="exact"/>
        <w:jc w:val="both"/>
        <w:rPr>
          <w:rFonts w:ascii="Times New Roman" w:hAnsi="Times New Roman"/>
        </w:rPr>
      </w:pPr>
    </w:p>
    <w:p w:rsidR="001656B1" w:rsidRPr="00827BF3" w:rsidRDefault="001656B1" w:rsidP="001656B1">
      <w:pPr>
        <w:spacing w:before="240" w:after="0" w:line="280" w:lineRule="exact"/>
        <w:jc w:val="both"/>
        <w:outlineLvl w:val="1"/>
        <w:rPr>
          <w:rFonts w:ascii="Times New Roman" w:hAnsi="Times New Roman"/>
        </w:rPr>
      </w:pPr>
      <w:r w:rsidRPr="00827BF3">
        <w:rPr>
          <w:rFonts w:ascii="Times New Roman" w:hAnsi="Times New Roman"/>
        </w:rPr>
        <w:lastRenderedPageBreak/>
        <w:t>Meios de identificação e caracterização de estados de espírito</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O Xi-Kung é uma disciplina chinesa de meditação e descontracção cujo objectivo é, precisamente, harmonizar as relações da mente com o corpo no seio do universo como acto terapêutico, como arte de bem-estar e de cura de maleitas decorrentes de tensões localizadas que não foram sujeitas à solidariedade de todo o ser, tanto pessoal como cósmico. A fixação das pessoas em certos níveis de realidade – como o social, por exemplo através do espírito profissional – interrompe, diz a teoria chinesa, os fluxos entre a terra e o ar através do corpo humano. Por uns breves minutos diários, os exercícios de disponibilização dos corpos e mentes para libertarem os pontos de acumulação de tensões e permitirem os fluxos de energia dão resultados sensíveis a curto prazo (3 meses) sobretudo para quem sofre de um mal claramente identificável. Os limites desta arte são os limites da solidariedade entre as diferentes partes de cada corpo em concreto (incluindo o espírito), cuja mortalidade não será superada nem a morbilidade será evitada.</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A eficácia desta arte, sobretudo quando auto-administrada, aparece aos olhos da cultura ocidental como magia. E assim é, pois ela depende da adequação da vontade de cada pessoa e das suas condições de existência. Não se trata, como ocorre com os medicamentos ocidentais, de uma dádiva da ciência, através da indústria farmacêutica, prescrita por médicos para corrigir um disfuncionamento localizado, mantendo tudo o resto precisamente na mesma. Não há, na medicina chinesa, como há na medicina ocidental, a esperança de um dia ser possível viver para sempre, substituindo o corpo por outro e mantendo o mesmo espírito (como espontaneamente se acredita – erradamente – poder acontecer com a clonagem). Pelo contrário, o que é objectivo cultural típico da cultura oriental, inspirada no budismo, é a fusão radical de cada um com o cosmos, uma vez criadas as condições para romper o ciclo de reencarnações sucessivas.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Quando nos cursos de Raiki dizem que a aposição de mãos no corpo de terceiros ou no próprio corpo tem poderes curativos, poderes esses provavelmente utilizados por Cristo nalguns dos seus milagres, qualquer cientista terá que mobilizar o cepticismo e a dúvida metódica. Os técnicos de saúde, porém, usam a aposição das mãos em doentes para tratamento da dor, verificados empiricamente os benefícios de tal forma elementar de solidariedade entre pessoas, efeito facilmente reprodutível por qualquer pessoa. Aliás, no seguimento da afirmação das políticas de humanização dos hospitais, que reconheceram os efeitos curativos da presença de entes queridos junto dos doentes.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Um estado de espírito social adequado cura, transforma, harmoniza – mas também luta, confronta, subverte, claro. Porque não assume a sociologia a incumbência de explicar o que seja um estado de espírito social, o desejo necessidade biologicamente organizado das pessoas socializarem? Na procura da cara-metade, na ânsia do poder, na afirmação individual como actor social, nas vantagens de fazer amigos, na identificação com certas gerações, etc.</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Retrospectivamente podemos observar as diferenças entre o eu, o mim, o mim mesmo, ou entre o inconsciente, o subconsciente e o consciente, ou entre o indivíduo, a sua identidade psico-social e a sociedade. Uma tal forma de análise sociológica permitirá perspectivar acções terapêuticas? Porque depende tanto a teoria social das ideologias para organizar as discussões sobre como antecipar o futuro? Porque se remetem as ciências sociais a um estatuto terciário no mundo científico, depois das ciências duras e da economia?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Os estados de espírito, pelo facto de não serem isoláveis a olho nu como coisas, devem ser tratados como assombrações? Não serão isoláveis por métodos apropriados, como aconteceu com o átomo depois de se esperar milhares de anos pelas tecnologias adequadas? O facto de aquilo que se viu não ser exactamente aquilo de que se estava à espera, diminuiu o valor cognitivo do investimento epistemológico?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lastRenderedPageBreak/>
        <w:t>A imagiologia, a neurofisiologia, a análise hormonal, a audiologia têm beneficiado muito das tecnologias de informação e desenvolveram muitas técnicas de sondagem da actividade humana, geralmente no âmbito das tecnologias da saúde, que podem ser adaptadas a funções de investigação. Há já experiências nesse sentido, cf. Helen Fisher (2010). Para conseguir acesso a tais recursos, os sociólogos precisam de convencer os financiadores dos benefícios de tal investimento em ciência fundamental, isto é da possibilidade – já verificada empiricamente – de existirem efeitos benéficos (e perniciosos também) para a saúde (e não só) da presença de certos estados de espírito, cf. Wilkinson e Pickett (2009). Bem como da possibilidade de induzir estados de espírito positivos através de meios sociais.</w:t>
      </w:r>
    </w:p>
    <w:p w:rsidR="001656B1" w:rsidRPr="00827BF3" w:rsidRDefault="001656B1" w:rsidP="001656B1">
      <w:pPr>
        <w:spacing w:before="240" w:after="0" w:line="280" w:lineRule="exact"/>
        <w:jc w:val="both"/>
        <w:outlineLvl w:val="1"/>
        <w:rPr>
          <w:rFonts w:ascii="Times New Roman" w:hAnsi="Times New Roman"/>
        </w:rPr>
      </w:pPr>
      <w:r w:rsidRPr="00827BF3">
        <w:rPr>
          <w:rFonts w:ascii="Times New Roman" w:hAnsi="Times New Roman"/>
        </w:rPr>
        <w:t>Ultrapassar o complexo cartesiano da modernidade</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Segundo Bernard Lahire,</w:t>
      </w:r>
      <w:r w:rsidRPr="00827BF3">
        <w:rPr>
          <w:rStyle w:val="Refdenotaderodap"/>
          <w:rFonts w:ascii="Times New Roman" w:hAnsi="Times New Roman"/>
        </w:rPr>
        <w:footnoteReference w:id="9"/>
      </w:r>
      <w:r w:rsidRPr="00827BF3">
        <w:rPr>
          <w:rFonts w:ascii="Times New Roman" w:hAnsi="Times New Roman"/>
        </w:rPr>
        <w:t xml:space="preserve"> a especialização das ciências sociais nas últimas décadas serviu para organizar informação empírica capaz de sustentar as intuições científicas mas teve como efeito perverso a hiper-especialização: a) a separação das ciências sociais em disciplinas estanques; b) a divisão de cada disciplina em sub-disciplinas estanques; c) a divisão estanque de perspectivas de análise de longa e curta duração no tempo ou de curta e longa extensão no espaço (processos e análises sincrónicas versus diacrónicas, locais versus nacionais, regionais e globais).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Verifica o autor que esta hiper-especialização seca o acesso dos sociólogos à realidade mais geral, isto é, à sociedade propriamente dita. Isso traz consequências: quem faz as sínteses sobre o que seja, em cada momento, a sociedade são os ideólogos, os publicistas, os editores ou gestores da ciência (ou os economistas do discurso único) e não os cientistas, em prejuízo da racionalidade dos debates e da clareza das consciências.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A interdisciplinaridade parece-lhe ser a prática científica a desenvolver para contrariar a actual tendência dominante. Embora Lahire não vislumbre o caminho aqui apresentado, o reforço da aliança entre as ciências sociais e as ciências da vida é um caminho possível e até desejável para a próxima etapa do desenvolvimento das teorias sociais. Não tanto em termos heurísticos, como fez sobretudo Spencer (mas também Durkheim), mas em termos epistemológicos, passando a tratar o evanescente não apenas como representação virtual, mas procurando identificar o que de material suporta tal evanescência, como a consciência, cf. Damásio (2010).</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Trata-se de retomar temas clássicos da sociologia abandonados, como o espírito revolucionário em Marx, os estilos em Simmel (1986:193), o mimetismo em Tarde, o espírito do capitalismo em Weber, a repugnância incorporada em Elias, o estigma em Goffman, os gostos e as disposições em Bourdieu, a reflexividade moderna em Giddens, analisando o que neles haja de formas elementares da vida social humana. Trata-se de pensar a análise de Durkheim sobre a vida religiosa dos aborígenes australianos como uma primeira pista na procura do átomo social, dos estados de espírito elementares a partir dos quais se constroem as consciências humanas, ao mesmo tempo individuais, sociais e cósmicas. Estados de espírito como expressões da vida com capacidade de retroacção sobre os metabolismos e sobre a própria natureza, como hoje se constata. Estados de espírito capazes de mudar o mundo, também.</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Não são possibilidades abstractas todos os azimutes, para serem filosofadas. As forças da natureza, antes das sínteses científicas as identificarem, também eram (in)compreendidas como arbitrariedades divinas. A electricidade e o magnetismo, por exemplo, continuam a não ser directamente visíveis, mas podem ser domesticadas tecnologicamente, </w:t>
      </w:r>
      <w:r w:rsidRPr="00827BF3">
        <w:rPr>
          <w:rFonts w:ascii="Times New Roman" w:hAnsi="Times New Roman"/>
          <w:i/>
        </w:rPr>
        <w:t>porque foram identificados</w:t>
      </w:r>
      <w:r w:rsidRPr="00827BF3">
        <w:rPr>
          <w:rFonts w:ascii="Times New Roman" w:hAnsi="Times New Roman"/>
        </w:rPr>
        <w:t xml:space="preserve">. A própria luz, sabemo-lo hoje, pode ser invisível, mistura-se no branco e divide-se em arco-íris. O som pode não se ouvir ou aparecer-nos sob o efeito Doppler. Os estados de </w:t>
      </w:r>
      <w:r w:rsidRPr="00827BF3">
        <w:rPr>
          <w:rFonts w:ascii="Times New Roman" w:hAnsi="Times New Roman"/>
        </w:rPr>
        <w:lastRenderedPageBreak/>
        <w:t>espírito, portanto, não serão materiais como a fisiologia ou a esquelética ou as regulações nervosas. Mas são inerentes à regulação homeostática, sem a qual a conjugação das partes de um ser vivo não seria possível.</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Se por hipótese os três estados de espírito elementares próprios do poder forem o espírito de proibir, o espírito de submissão e o espírito marginal,</w:t>
      </w:r>
      <w:r w:rsidRPr="00827BF3">
        <w:rPr>
          <w:rStyle w:val="Refdenotaderodap"/>
          <w:rFonts w:ascii="Times New Roman" w:hAnsi="Times New Roman"/>
        </w:rPr>
        <w:footnoteReference w:id="10"/>
      </w:r>
      <w:r w:rsidRPr="00827BF3">
        <w:rPr>
          <w:rFonts w:ascii="Times New Roman" w:hAnsi="Times New Roman"/>
        </w:rPr>
        <w:t xml:space="preserve"> não será de esperar que cada um destes estados de espírito corresponda a espectros de medidas imagiológicas, neurofisiológicas, hormonais, audiológicas características? Do mesmo modo que a infância, a juventude, a vida adulta e as diferentes etapas de envelhecimento podem também ser presumivelmente caracterizadas através de algumas medidas específicas a descobrir? Do mesmo modo ainda que as relações maternais, fraternais e conjugais, para utilizar a tipologia clássica de Tonnïes, podem ser tipificadas com a ajuda das mesmas tecnologias?</w:t>
      </w:r>
    </w:p>
    <w:p w:rsidR="001656B1" w:rsidRPr="00827BF3" w:rsidRDefault="001656B1" w:rsidP="001656B1">
      <w:pPr>
        <w:spacing w:before="120" w:after="0" w:line="280" w:lineRule="exact"/>
        <w:jc w:val="both"/>
        <w:rPr>
          <w:rFonts w:ascii="Times New Roman" w:hAnsi="Times New Roman"/>
        </w:rPr>
      </w:pPr>
    </w:p>
    <w:p w:rsidR="001656B1" w:rsidRPr="00827BF3" w:rsidRDefault="001656B1" w:rsidP="001656B1">
      <w:pPr>
        <w:spacing w:before="120" w:after="0" w:line="280" w:lineRule="exact"/>
        <w:jc w:val="both"/>
        <w:rPr>
          <w:rFonts w:ascii="Times New Roman" w:hAnsi="Times New Roman"/>
        </w:rPr>
      </w:pP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br w:type="page"/>
      </w:r>
      <w:r w:rsidRPr="00827BF3">
        <w:rPr>
          <w:rFonts w:ascii="Times New Roman" w:hAnsi="Times New Roman"/>
        </w:rPr>
        <w:lastRenderedPageBreak/>
        <w:t xml:space="preserve">Bibliografia: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Castels, Manuel (2003) </w:t>
      </w:r>
      <w:r w:rsidRPr="00827BF3">
        <w:rPr>
          <w:rFonts w:ascii="Times New Roman" w:hAnsi="Times New Roman"/>
          <w:i/>
        </w:rPr>
        <w:t>A Era da Informação: Economia, Sociedade e Cultura</w:t>
      </w:r>
      <w:r w:rsidRPr="00827BF3">
        <w:rPr>
          <w:rFonts w:ascii="Times New Roman" w:hAnsi="Times New Roman"/>
        </w:rPr>
        <w:t xml:space="preserve"> em 3 volumes, Lisboa, FCG.</w:t>
      </w:r>
    </w:p>
    <w:p w:rsidR="001656B1" w:rsidRPr="00827BF3" w:rsidRDefault="001656B1" w:rsidP="001656B1">
      <w:pPr>
        <w:spacing w:before="120" w:after="0" w:line="280" w:lineRule="exact"/>
        <w:jc w:val="both"/>
        <w:rPr>
          <w:rFonts w:ascii="Times New Roman" w:hAnsi="Times New Roman"/>
          <w:lang w:val="en-US"/>
        </w:rPr>
      </w:pPr>
      <w:r w:rsidRPr="00827BF3">
        <w:rPr>
          <w:rFonts w:ascii="Times New Roman" w:hAnsi="Times New Roman"/>
          <w:lang w:val="en-US"/>
        </w:rPr>
        <w:t xml:space="preserve">Chernilo, Daniel (2006) “Social Theory´s Methodological Nationalism: Myth and Reality” em </w:t>
      </w:r>
      <w:r w:rsidRPr="00827BF3">
        <w:rPr>
          <w:rFonts w:ascii="Times New Roman" w:hAnsi="Times New Roman"/>
          <w:i/>
          <w:lang w:val="en-US"/>
        </w:rPr>
        <w:t>Journal of Social Theory</w:t>
      </w:r>
      <w:r w:rsidRPr="00827BF3">
        <w:rPr>
          <w:rFonts w:ascii="Times New Roman" w:hAnsi="Times New Roman"/>
          <w:lang w:val="en-US"/>
        </w:rPr>
        <w:t xml:space="preserve"> 9(1):5-22.</w:t>
      </w:r>
    </w:p>
    <w:p w:rsidR="001656B1" w:rsidRPr="00827BF3" w:rsidRDefault="001656B1" w:rsidP="001656B1">
      <w:pPr>
        <w:spacing w:before="120" w:after="0" w:line="280" w:lineRule="exact"/>
        <w:jc w:val="both"/>
        <w:rPr>
          <w:rFonts w:ascii="Times New Roman" w:hAnsi="Times New Roman"/>
          <w:lang w:val="en-US"/>
        </w:rPr>
      </w:pPr>
      <w:r w:rsidRPr="00827BF3">
        <w:rPr>
          <w:rFonts w:ascii="Times New Roman" w:hAnsi="Times New Roman"/>
          <w:lang w:val="en-US"/>
        </w:rPr>
        <w:t xml:space="preserve"> Collins, Randall (2008), </w:t>
      </w:r>
      <w:r w:rsidRPr="00827BF3">
        <w:rPr>
          <w:rFonts w:ascii="Times New Roman" w:hAnsi="Times New Roman"/>
          <w:i/>
          <w:lang w:val="en-US"/>
        </w:rPr>
        <w:t>Violence: A Micro-sociological Theory</w:t>
      </w:r>
      <w:r w:rsidRPr="00827BF3">
        <w:rPr>
          <w:rFonts w:ascii="Times New Roman" w:hAnsi="Times New Roman"/>
          <w:lang w:val="en-US"/>
        </w:rPr>
        <w:t>, Princeton, Princeton University Press.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Damásio, António R. (1994) </w:t>
      </w:r>
      <w:r w:rsidRPr="00827BF3">
        <w:rPr>
          <w:rFonts w:ascii="Times New Roman" w:hAnsi="Times New Roman"/>
          <w:i/>
        </w:rPr>
        <w:t>O erro de Descartes : emoção, razão e cérebro humano</w:t>
      </w:r>
      <w:r w:rsidRPr="00827BF3">
        <w:rPr>
          <w:rFonts w:ascii="Times New Roman" w:hAnsi="Times New Roman"/>
        </w:rPr>
        <w:t>, Lisboa, Publicações Europa-América.</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Damásio, António (2010) </w:t>
      </w:r>
      <w:r w:rsidRPr="00827BF3">
        <w:rPr>
          <w:rFonts w:ascii="Times New Roman" w:hAnsi="Times New Roman"/>
          <w:i/>
        </w:rPr>
        <w:t>O Livro da Consciência - a Construção do Cérebro Consciente</w:t>
      </w:r>
      <w:r w:rsidRPr="00827BF3">
        <w:rPr>
          <w:rFonts w:ascii="Times New Roman" w:hAnsi="Times New Roman"/>
        </w:rPr>
        <w:t xml:space="preserve">, Lisboa, Círculo de Leitores.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Diamond, Jared (2008/2005) </w:t>
      </w:r>
      <w:r w:rsidRPr="00827BF3">
        <w:rPr>
          <w:rFonts w:ascii="Times New Roman" w:hAnsi="Times New Roman"/>
          <w:i/>
        </w:rPr>
        <w:t>Colapso - ascenção e queda das sociedades humanas</w:t>
      </w:r>
      <w:r w:rsidRPr="00827BF3">
        <w:rPr>
          <w:rFonts w:ascii="Times New Roman" w:hAnsi="Times New Roman"/>
        </w:rPr>
        <w:t>, Lisboa, Gradiva.</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Durkheim, Émile (2002/1912) </w:t>
      </w:r>
      <w:r w:rsidRPr="00827BF3">
        <w:rPr>
          <w:rFonts w:ascii="Times New Roman" w:hAnsi="Times New Roman"/>
          <w:i/>
        </w:rPr>
        <w:t>As Formas Elementares da Vida Religiosa</w:t>
      </w:r>
      <w:r w:rsidRPr="00827BF3">
        <w:rPr>
          <w:rFonts w:ascii="Times New Roman" w:hAnsi="Times New Roman"/>
        </w:rPr>
        <w:t>, Oeiras, Celta.</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Elias, Norbert (1990/1939) </w:t>
      </w:r>
      <w:r w:rsidRPr="00827BF3">
        <w:rPr>
          <w:rFonts w:ascii="Times New Roman" w:hAnsi="Times New Roman"/>
          <w:i/>
        </w:rPr>
        <w:t>O Processo Civilizacional</w:t>
      </w:r>
      <w:r w:rsidRPr="00827BF3">
        <w:rPr>
          <w:rFonts w:ascii="Times New Roman" w:hAnsi="Times New Roman"/>
        </w:rPr>
        <w:t xml:space="preserve"> (Vol I e II), Lisboa, D. Quixote. </w:t>
      </w:r>
    </w:p>
    <w:p w:rsidR="001656B1" w:rsidRPr="00827BF3" w:rsidRDefault="001656B1" w:rsidP="001656B1">
      <w:pPr>
        <w:spacing w:before="120" w:after="0" w:line="280" w:lineRule="exact"/>
        <w:jc w:val="both"/>
        <w:rPr>
          <w:rFonts w:ascii="Times New Roman" w:hAnsi="Times New Roman"/>
          <w:lang w:val="en-US"/>
        </w:rPr>
      </w:pPr>
      <w:r w:rsidRPr="00827BF3">
        <w:rPr>
          <w:rFonts w:ascii="Times New Roman" w:hAnsi="Times New Roman"/>
          <w:lang w:val="en-US"/>
        </w:rPr>
        <w:t xml:space="preserve">Fisher, Helen (2010) "Sex Diferences in Temperament: How four primary brain systems build gender differences (and similarities) and guide mate choice" in </w:t>
      </w:r>
      <w:r w:rsidRPr="00827BF3">
        <w:rPr>
          <w:rFonts w:ascii="Times New Roman" w:hAnsi="Times New Roman"/>
          <w:i/>
          <w:lang w:val="en-US"/>
        </w:rPr>
        <w:t>The Difference between the Sexes - From Biology to Behaviour</w:t>
      </w:r>
      <w:r w:rsidRPr="00827BF3">
        <w:rPr>
          <w:rFonts w:ascii="Times New Roman" w:hAnsi="Times New Roman"/>
          <w:lang w:val="en-US"/>
        </w:rPr>
        <w:t xml:space="preserve">, 11th EMBL/EMBO Science and Society Conference , Heidelberg, </w:t>
      </w:r>
      <w:hyperlink r:id="rId7" w:history="1">
        <w:r w:rsidRPr="00827BF3">
          <w:rPr>
            <w:rStyle w:val="Hiperligao"/>
            <w:rFonts w:ascii="Times New Roman" w:hAnsi="Times New Roman"/>
            <w:lang w:val="en-US"/>
          </w:rPr>
          <w:t>http://www.embl.de/training/events/2010/SNS10-01/onlineseminars_day2/2011106_hfisher/index.html</w:t>
        </w:r>
      </w:hyperlink>
    </w:p>
    <w:p w:rsidR="001656B1" w:rsidRPr="00827BF3" w:rsidRDefault="001656B1" w:rsidP="001656B1">
      <w:pPr>
        <w:spacing w:before="120" w:after="0" w:line="280" w:lineRule="exact"/>
        <w:jc w:val="both"/>
        <w:rPr>
          <w:rFonts w:ascii="Times New Roman" w:hAnsi="Times New Roman"/>
          <w:lang w:val="fr-FR"/>
        </w:rPr>
      </w:pPr>
      <w:r w:rsidRPr="00827BF3">
        <w:rPr>
          <w:rFonts w:ascii="Times New Roman" w:hAnsi="Times New Roman"/>
          <w:lang w:val="fr-FR"/>
        </w:rPr>
        <w:t xml:space="preserve">Latour, Bruno (2007/05) </w:t>
      </w:r>
      <w:r w:rsidRPr="00827BF3">
        <w:rPr>
          <w:rFonts w:ascii="Times New Roman" w:hAnsi="Times New Roman"/>
          <w:i/>
          <w:lang w:val="fr-FR"/>
        </w:rPr>
        <w:t>Changer de société, refaire de la sociologie</w:t>
      </w:r>
      <w:r w:rsidRPr="00827BF3">
        <w:rPr>
          <w:rFonts w:ascii="Times New Roman" w:hAnsi="Times New Roman"/>
          <w:lang w:val="fr-FR"/>
        </w:rPr>
        <w:t xml:space="preserve">, Paris, La Découverte. </w:t>
      </w:r>
    </w:p>
    <w:p w:rsidR="001656B1" w:rsidRPr="00827BF3" w:rsidRDefault="001656B1" w:rsidP="001656B1">
      <w:pPr>
        <w:spacing w:before="120" w:after="0" w:line="280" w:lineRule="exact"/>
        <w:jc w:val="both"/>
        <w:rPr>
          <w:rFonts w:ascii="Times New Roman" w:hAnsi="Times New Roman"/>
          <w:lang w:val="en-US"/>
        </w:rPr>
      </w:pPr>
      <w:r w:rsidRPr="00827BF3">
        <w:rPr>
          <w:rFonts w:ascii="Times New Roman" w:hAnsi="Times New Roman"/>
          <w:lang w:val="en-US"/>
        </w:rPr>
        <w:t xml:space="preserve">Minsky, Marvin (1985) </w:t>
      </w:r>
      <w:r w:rsidRPr="00827BF3">
        <w:rPr>
          <w:rFonts w:ascii="Times New Roman" w:hAnsi="Times New Roman"/>
          <w:i/>
          <w:lang w:val="en-US"/>
        </w:rPr>
        <w:t>The Society of the Mind</w:t>
      </w:r>
      <w:r w:rsidRPr="00827BF3">
        <w:rPr>
          <w:rFonts w:ascii="Times New Roman" w:hAnsi="Times New Roman"/>
          <w:lang w:val="en-US"/>
        </w:rPr>
        <w:t>, London/NY/Toronto/Sidney, Simon &amp; Schuster Paperbacks.</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Moscovici, Serge e Willem Doise (1991) </w:t>
      </w:r>
      <w:r w:rsidRPr="00827BF3">
        <w:rPr>
          <w:rFonts w:ascii="Times New Roman" w:hAnsi="Times New Roman"/>
          <w:i/>
          <w:iCs/>
        </w:rPr>
        <w:t>Dissensões e Consenso</w:t>
      </w:r>
      <w:r w:rsidRPr="00827BF3">
        <w:rPr>
          <w:rFonts w:ascii="Times New Roman" w:hAnsi="Times New Roman"/>
        </w:rPr>
        <w:t>, Lisboa, Livros Horizonte.</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Simmel, Goerg (1986) </w:t>
      </w:r>
      <w:r w:rsidRPr="00827BF3">
        <w:rPr>
          <w:rFonts w:ascii="Times New Roman" w:hAnsi="Times New Roman"/>
          <w:i/>
        </w:rPr>
        <w:t>El individuo y la Libertad – ensayos de crítica de la cultura</w:t>
      </w:r>
      <w:r w:rsidRPr="00827BF3">
        <w:rPr>
          <w:rFonts w:ascii="Times New Roman" w:hAnsi="Times New Roman"/>
        </w:rPr>
        <w:t xml:space="preserve">, Barcelona, ediciones península. </w:t>
      </w:r>
    </w:p>
    <w:p w:rsidR="001656B1" w:rsidRPr="00827BF3" w:rsidRDefault="001656B1" w:rsidP="001656B1">
      <w:pPr>
        <w:spacing w:before="120" w:after="0" w:line="280" w:lineRule="exact"/>
        <w:jc w:val="both"/>
        <w:rPr>
          <w:rFonts w:ascii="Times New Roman" w:hAnsi="Times New Roman"/>
        </w:rPr>
      </w:pPr>
      <w:r w:rsidRPr="00827BF3">
        <w:rPr>
          <w:rFonts w:ascii="Times New Roman" w:hAnsi="Times New Roman"/>
        </w:rPr>
        <w:t xml:space="preserve">Tomatis, Alfred (1991) </w:t>
      </w:r>
      <w:r w:rsidRPr="00827BF3">
        <w:rPr>
          <w:rFonts w:ascii="Times New Roman" w:hAnsi="Times New Roman"/>
          <w:i/>
        </w:rPr>
        <w:t>Todos Nascemos Poliglotas</w:t>
      </w:r>
      <w:r w:rsidRPr="00827BF3">
        <w:rPr>
          <w:rFonts w:ascii="Times New Roman" w:hAnsi="Times New Roman"/>
        </w:rPr>
        <w:t xml:space="preserve">, Lisboa, Instituto Piaget. </w:t>
      </w:r>
    </w:p>
    <w:p w:rsidR="001656B1" w:rsidRPr="00827BF3" w:rsidRDefault="001656B1" w:rsidP="001656B1">
      <w:pPr>
        <w:spacing w:before="120" w:after="0" w:line="280" w:lineRule="exact"/>
        <w:jc w:val="both"/>
        <w:rPr>
          <w:rFonts w:ascii="Times New Roman" w:hAnsi="Times New Roman"/>
          <w:lang w:val="en-US"/>
        </w:rPr>
      </w:pPr>
      <w:r w:rsidRPr="00827BF3">
        <w:rPr>
          <w:rFonts w:ascii="Times New Roman" w:hAnsi="Times New Roman"/>
          <w:lang w:val="en-US"/>
        </w:rPr>
        <w:t xml:space="preserve">Wilkinson, Richard e Kate Pickett (2009) </w:t>
      </w:r>
      <w:r w:rsidRPr="00827BF3">
        <w:rPr>
          <w:rFonts w:ascii="Times New Roman" w:hAnsi="Times New Roman"/>
          <w:i/>
          <w:lang w:val="en-US"/>
        </w:rPr>
        <w:t>The Spirit Level – why more equal societies almost always do better</w:t>
      </w:r>
      <w:r w:rsidRPr="00827BF3">
        <w:rPr>
          <w:rFonts w:ascii="Times New Roman" w:hAnsi="Times New Roman"/>
          <w:lang w:val="en-US"/>
        </w:rPr>
        <w:t>, Penguin.</w:t>
      </w:r>
    </w:p>
    <w:p w:rsidR="001656B1" w:rsidRPr="00827BF3" w:rsidRDefault="001656B1" w:rsidP="001656B1">
      <w:pPr>
        <w:spacing w:before="120" w:after="0" w:line="280" w:lineRule="exact"/>
        <w:jc w:val="both"/>
        <w:rPr>
          <w:rFonts w:ascii="Times New Roman" w:hAnsi="Times New Roman"/>
          <w:lang w:val="en-US"/>
        </w:rPr>
      </w:pPr>
    </w:p>
    <w:p w:rsidR="001656B1" w:rsidRPr="00827BF3" w:rsidRDefault="001656B1" w:rsidP="001656B1">
      <w:pPr>
        <w:spacing w:before="120" w:after="0" w:line="280" w:lineRule="exact"/>
        <w:jc w:val="both"/>
        <w:rPr>
          <w:rFonts w:ascii="Times New Roman" w:hAnsi="Times New Roman"/>
          <w:lang w:val="en-US"/>
        </w:rPr>
      </w:pPr>
      <w:r w:rsidRPr="00827BF3">
        <w:rPr>
          <w:rFonts w:ascii="Times New Roman" w:hAnsi="Times New Roman"/>
          <w:lang w:val="en-US"/>
        </w:rPr>
        <w:br w:type="page"/>
      </w:r>
    </w:p>
    <w:p w:rsidR="001656B1" w:rsidRPr="00827BF3" w:rsidRDefault="001656B1" w:rsidP="001656B1">
      <w:pPr>
        <w:spacing w:before="120" w:after="0" w:line="280" w:lineRule="exact"/>
        <w:jc w:val="both"/>
        <w:rPr>
          <w:rFonts w:ascii="Times New Roman" w:hAnsi="Times New Roman"/>
          <w:lang w:val="fr-FR"/>
        </w:rPr>
      </w:pPr>
      <w:r w:rsidRPr="00827BF3">
        <w:rPr>
          <w:rFonts w:ascii="Times New Roman" w:hAnsi="Times New Roman"/>
          <w:lang w:val="fr-FR"/>
        </w:rPr>
        <w:lastRenderedPageBreak/>
        <w:t>Anexo</w:t>
      </w:r>
    </w:p>
    <w:p w:rsidR="001656B1" w:rsidRPr="00827BF3" w:rsidRDefault="001656B1" w:rsidP="001656B1">
      <w:pPr>
        <w:spacing w:before="120" w:after="0" w:line="280" w:lineRule="exact"/>
        <w:jc w:val="both"/>
        <w:rPr>
          <w:rFonts w:ascii="Times New Roman" w:hAnsi="Times New Roman"/>
          <w:lang w:val="fr-FR"/>
        </w:rPr>
      </w:pPr>
    </w:p>
    <w:tbl>
      <w:tblPr>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5"/>
        <w:gridCol w:w="6479"/>
        <w:gridCol w:w="2522"/>
      </w:tblGrid>
      <w:tr w:rsidR="001656B1" w:rsidRPr="00827BF3" w:rsidTr="00C06A67">
        <w:tc>
          <w:tcPr>
            <w:tcW w:w="575"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1</w:t>
            </w:r>
          </w:p>
        </w:tc>
        <w:tc>
          <w:tcPr>
            <w:tcW w:w="6479"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Os europeus destacam-se dos outros povos pelo respeito pelos Direitos Humanos</w:t>
            </w:r>
          </w:p>
        </w:tc>
        <w:tc>
          <w:tcPr>
            <w:tcW w:w="2522"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Muito 1 2 3 4 5 Nada</w:t>
            </w:r>
          </w:p>
        </w:tc>
      </w:tr>
      <w:tr w:rsidR="001656B1" w:rsidRPr="00827BF3" w:rsidTr="00C06A67">
        <w:tc>
          <w:tcPr>
            <w:tcW w:w="575"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2</w:t>
            </w:r>
          </w:p>
        </w:tc>
        <w:tc>
          <w:tcPr>
            <w:tcW w:w="6479"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 xml:space="preserve">Quem comete um crime deve ser punido </w:t>
            </w:r>
          </w:p>
        </w:tc>
        <w:tc>
          <w:tcPr>
            <w:tcW w:w="2522"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Muito 1 2 3 4 5 Nada</w:t>
            </w:r>
          </w:p>
        </w:tc>
      </w:tr>
      <w:tr w:rsidR="001656B1" w:rsidRPr="00827BF3" w:rsidTr="00C06A67">
        <w:tc>
          <w:tcPr>
            <w:tcW w:w="575"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 xml:space="preserve">3 </w:t>
            </w:r>
          </w:p>
        </w:tc>
        <w:tc>
          <w:tcPr>
            <w:tcW w:w="6479"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 xml:space="preserve">O Estado deve assumir todas as responsabilidades para empregar quem cometa crimes </w:t>
            </w:r>
          </w:p>
        </w:tc>
        <w:tc>
          <w:tcPr>
            <w:tcW w:w="2522"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Muito 1 2 3 4 5 Nada</w:t>
            </w:r>
          </w:p>
        </w:tc>
      </w:tr>
      <w:tr w:rsidR="001656B1" w:rsidRPr="00827BF3" w:rsidTr="00C06A67">
        <w:tc>
          <w:tcPr>
            <w:tcW w:w="575"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4</w:t>
            </w:r>
          </w:p>
        </w:tc>
        <w:tc>
          <w:tcPr>
            <w:tcW w:w="6479"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Sem liberdade, o trabalho degrada o ser humano</w:t>
            </w:r>
          </w:p>
        </w:tc>
        <w:tc>
          <w:tcPr>
            <w:tcW w:w="2522"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Muito 1 2 3 4 5 Nada</w:t>
            </w:r>
          </w:p>
        </w:tc>
      </w:tr>
      <w:tr w:rsidR="001656B1" w:rsidRPr="00827BF3" w:rsidTr="00C06A67">
        <w:tc>
          <w:tcPr>
            <w:tcW w:w="575"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5</w:t>
            </w:r>
          </w:p>
        </w:tc>
        <w:tc>
          <w:tcPr>
            <w:tcW w:w="6479"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O trabalho liberta os condenados</w:t>
            </w:r>
          </w:p>
        </w:tc>
        <w:tc>
          <w:tcPr>
            <w:tcW w:w="2522"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Muito 1 2 3 4 5 Nada</w:t>
            </w:r>
          </w:p>
        </w:tc>
      </w:tr>
      <w:tr w:rsidR="001656B1" w:rsidRPr="00827BF3" w:rsidTr="00C06A67">
        <w:tc>
          <w:tcPr>
            <w:tcW w:w="575"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6</w:t>
            </w:r>
          </w:p>
        </w:tc>
        <w:tc>
          <w:tcPr>
            <w:tcW w:w="6479"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O Estado deve passar a admitir a entrada na função pública de pessoas com cadastro criminal</w:t>
            </w:r>
          </w:p>
        </w:tc>
        <w:tc>
          <w:tcPr>
            <w:tcW w:w="2522"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Muito 1 2 3 4 5 Nada</w:t>
            </w:r>
          </w:p>
        </w:tc>
      </w:tr>
      <w:tr w:rsidR="001656B1" w:rsidRPr="00827BF3" w:rsidTr="00C06A67">
        <w:tc>
          <w:tcPr>
            <w:tcW w:w="575"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7</w:t>
            </w:r>
          </w:p>
        </w:tc>
        <w:tc>
          <w:tcPr>
            <w:tcW w:w="6479"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Ao Estado cabe estimular as empresas e a sociedade para receberem bem os ex-condenados</w:t>
            </w:r>
          </w:p>
        </w:tc>
        <w:tc>
          <w:tcPr>
            <w:tcW w:w="2522"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Muito 1 2 3 4 5 Nada</w:t>
            </w:r>
          </w:p>
        </w:tc>
      </w:tr>
      <w:tr w:rsidR="001656B1" w:rsidRPr="00827BF3" w:rsidTr="00C06A67">
        <w:tc>
          <w:tcPr>
            <w:tcW w:w="575"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8</w:t>
            </w:r>
          </w:p>
        </w:tc>
        <w:tc>
          <w:tcPr>
            <w:tcW w:w="6479"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Havendo condições para isso, o trabalho livre dos condenados é preferível à prisão</w:t>
            </w:r>
          </w:p>
        </w:tc>
        <w:tc>
          <w:tcPr>
            <w:tcW w:w="2522"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Muito 1 2 3 4 5 Nada</w:t>
            </w:r>
          </w:p>
        </w:tc>
      </w:tr>
      <w:tr w:rsidR="001656B1" w:rsidRPr="00827BF3" w:rsidTr="00C06A67">
        <w:tc>
          <w:tcPr>
            <w:tcW w:w="575"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9</w:t>
            </w:r>
          </w:p>
        </w:tc>
        <w:tc>
          <w:tcPr>
            <w:tcW w:w="6479"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 xml:space="preserve">Quem comete um crime deve ser tratado sempre como pessoa </w:t>
            </w:r>
          </w:p>
        </w:tc>
        <w:tc>
          <w:tcPr>
            <w:tcW w:w="2522"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Muito 1 2 3 4 5 Nada</w:t>
            </w:r>
          </w:p>
        </w:tc>
      </w:tr>
      <w:tr w:rsidR="001656B1" w:rsidRPr="00827BF3" w:rsidTr="00C06A67">
        <w:tc>
          <w:tcPr>
            <w:tcW w:w="575"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10</w:t>
            </w:r>
          </w:p>
        </w:tc>
        <w:tc>
          <w:tcPr>
            <w:tcW w:w="6479"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Os europeus são demasiado brandos com os seus inimigos</w:t>
            </w:r>
          </w:p>
        </w:tc>
        <w:tc>
          <w:tcPr>
            <w:tcW w:w="2522" w:type="dxa"/>
            <w:tcBorders>
              <w:top w:val="single" w:sz="4" w:space="0" w:color="000000"/>
              <w:left w:val="single" w:sz="4" w:space="0" w:color="000000"/>
              <w:bottom w:val="single" w:sz="4" w:space="0" w:color="000000"/>
              <w:right w:val="single" w:sz="4" w:space="0" w:color="000000"/>
            </w:tcBorders>
            <w:hideMark/>
          </w:tcPr>
          <w:p w:rsidR="001656B1" w:rsidRPr="00827BF3" w:rsidRDefault="001656B1" w:rsidP="00C06A67">
            <w:pPr>
              <w:spacing w:before="120" w:after="0" w:line="280" w:lineRule="exact"/>
              <w:jc w:val="both"/>
              <w:rPr>
                <w:rFonts w:ascii="Times New Roman" w:hAnsi="Times New Roman"/>
              </w:rPr>
            </w:pPr>
            <w:r w:rsidRPr="00827BF3">
              <w:rPr>
                <w:rFonts w:ascii="Times New Roman" w:hAnsi="Times New Roman"/>
              </w:rPr>
              <w:t>Muito 1 2 3 4 5 Nada</w:t>
            </w:r>
          </w:p>
        </w:tc>
      </w:tr>
    </w:tbl>
    <w:p w:rsidR="00A94AAA" w:rsidRDefault="00A94AAA" w:rsidP="001656B1">
      <w:pPr>
        <w:jc w:val="both"/>
      </w:pPr>
    </w:p>
    <w:sectPr w:rsidR="00A94AAA" w:rsidSect="00A94AAA">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0091" w:rsidRDefault="009F0091" w:rsidP="00611EBF">
      <w:pPr>
        <w:spacing w:after="0" w:line="240" w:lineRule="auto"/>
      </w:pPr>
      <w:r>
        <w:separator/>
      </w:r>
    </w:p>
  </w:endnote>
  <w:endnote w:type="continuationSeparator" w:id="0">
    <w:p w:rsidR="009F0091" w:rsidRDefault="009F0091" w:rsidP="00611E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0091" w:rsidRDefault="009F0091" w:rsidP="00611EBF">
      <w:pPr>
        <w:spacing w:after="0" w:line="240" w:lineRule="auto"/>
      </w:pPr>
      <w:r>
        <w:separator/>
      </w:r>
    </w:p>
  </w:footnote>
  <w:footnote w:type="continuationSeparator" w:id="0">
    <w:p w:rsidR="009F0091" w:rsidRDefault="009F0091" w:rsidP="00611EBF">
      <w:pPr>
        <w:spacing w:after="0" w:line="240" w:lineRule="auto"/>
      </w:pPr>
      <w:r>
        <w:continuationSeparator/>
      </w:r>
    </w:p>
  </w:footnote>
  <w:footnote w:id="1">
    <w:p w:rsidR="001656B1" w:rsidRDefault="001656B1" w:rsidP="001656B1">
      <w:pPr>
        <w:pStyle w:val="Textodenotaderodap"/>
      </w:pPr>
      <w:r>
        <w:rPr>
          <w:rStyle w:val="Refdenotaderodap"/>
        </w:rPr>
        <w:footnoteRef/>
      </w:r>
      <w:r>
        <w:t xml:space="preserve"> </w:t>
      </w:r>
      <w:hyperlink r:id="rId1" w:history="1">
        <w:r>
          <w:rPr>
            <w:rStyle w:val="Hiperligao"/>
          </w:rPr>
          <w:t>http://globalsociologylive.blogspot.com</w:t>
        </w:r>
      </w:hyperlink>
      <w:r>
        <w:t xml:space="preserve"> </w:t>
      </w:r>
    </w:p>
  </w:footnote>
  <w:footnote w:id="2">
    <w:p w:rsidR="001656B1" w:rsidRDefault="001656B1" w:rsidP="001656B1">
      <w:pPr>
        <w:spacing w:after="0" w:line="240" w:lineRule="auto"/>
        <w:jc w:val="both"/>
      </w:pPr>
      <w:r>
        <w:rPr>
          <w:rStyle w:val="Refdenotaderodap"/>
        </w:rPr>
        <w:footnoteRef/>
      </w:r>
      <w:r>
        <w:t xml:space="preserve"> </w:t>
      </w:r>
      <w:r>
        <w:rPr>
          <w:sz w:val="20"/>
          <w:szCs w:val="20"/>
        </w:rPr>
        <w:t>Os espectros de emissão sonora das línguas foram identificados por Tomatis (1991), que adaptou as técnicas de audiometria de diagnóstico terapêutico à investigação, com resultados práticos para a facilitação da aprendizagem de línguas, actualmente método Tomatis.</w:t>
      </w:r>
    </w:p>
  </w:footnote>
  <w:footnote w:id="3">
    <w:p w:rsidR="001656B1" w:rsidRDefault="001656B1" w:rsidP="001656B1">
      <w:pPr>
        <w:pStyle w:val="Textodenotaderodap"/>
      </w:pPr>
      <w:r>
        <w:rPr>
          <w:rStyle w:val="Refdenotaderodap"/>
        </w:rPr>
        <w:footnoteRef/>
      </w:r>
      <w:r>
        <w:t xml:space="preserve"> O nível espiritual representa a ignorância da ciência sobre como se fecha, no infinito acima, a sequência de níveis espaço/tempo que contribuem para a solidariedade das várias partes dos seres vivos. Ao infinito abaixo chama-se normalmente natureza.</w:t>
      </w:r>
    </w:p>
  </w:footnote>
  <w:footnote w:id="4">
    <w:p w:rsidR="001656B1" w:rsidRDefault="001656B1" w:rsidP="001656B1">
      <w:pPr>
        <w:pStyle w:val="Textodenotaderodap"/>
      </w:pPr>
      <w:r>
        <w:rPr>
          <w:rStyle w:val="Refdenotaderodap"/>
        </w:rPr>
        <w:footnoteRef/>
      </w:r>
      <w:r>
        <w:t xml:space="preserve"> </w:t>
      </w:r>
      <w:hyperlink r:id="rId2" w:history="1">
        <w:r>
          <w:rPr>
            <w:rStyle w:val="Hiperligao"/>
          </w:rPr>
          <w:t>http://media.iscte.pt/estados_de_espirito</w:t>
        </w:r>
      </w:hyperlink>
      <w:r>
        <w:t xml:space="preserve"> regista a produção do “caso A”.</w:t>
      </w:r>
    </w:p>
  </w:footnote>
  <w:footnote w:id="5">
    <w:p w:rsidR="001656B1" w:rsidRDefault="001656B1" w:rsidP="001656B1">
      <w:pPr>
        <w:pStyle w:val="Textodenotaderodap"/>
      </w:pPr>
      <w:r>
        <w:rPr>
          <w:rStyle w:val="Refdenotaderodap"/>
        </w:rPr>
        <w:footnoteRef/>
      </w:r>
      <w:r>
        <w:t xml:space="preserve"> </w:t>
      </w:r>
      <w:hyperlink r:id="rId3" w:history="1">
        <w:r w:rsidRPr="00996106">
          <w:rPr>
            <w:rStyle w:val="Hiperligao"/>
          </w:rPr>
          <w:t>http://home.iscte-iul.pt/~apad/publico_prisoes</w:t>
        </w:r>
      </w:hyperlink>
      <w:r>
        <w:t xml:space="preserve">. </w:t>
      </w:r>
    </w:p>
  </w:footnote>
  <w:footnote w:id="6">
    <w:p w:rsidR="001656B1" w:rsidRDefault="001656B1" w:rsidP="001656B1">
      <w:pPr>
        <w:pStyle w:val="Textodenotaderodap"/>
      </w:pPr>
      <w:r>
        <w:rPr>
          <w:rStyle w:val="Refdenotaderodap"/>
        </w:rPr>
        <w:footnoteRef/>
      </w:r>
      <w:r>
        <w:t xml:space="preserve"> </w:t>
      </w:r>
      <w:hyperlink r:id="rId4" w:history="1">
        <w:r>
          <w:rPr>
            <w:rStyle w:val="Hiperligao"/>
          </w:rPr>
          <w:t>http://www.youtube.com/watch?v=EylwtiHMV7A</w:t>
        </w:r>
      </w:hyperlink>
      <w:r>
        <w:t xml:space="preserve">. </w:t>
      </w:r>
    </w:p>
  </w:footnote>
  <w:footnote w:id="7">
    <w:p w:rsidR="001656B1" w:rsidRDefault="001656B1" w:rsidP="001656B1">
      <w:pPr>
        <w:pStyle w:val="Textodenotaderodap"/>
      </w:pPr>
      <w:r>
        <w:rPr>
          <w:rStyle w:val="Refdenotaderodap"/>
        </w:rPr>
        <w:footnoteRef/>
      </w:r>
      <w:r>
        <w:t xml:space="preserve"> Cada pessoa pode viver, ao mesmo tempo, mais do que uma dinâmica. Cada um aprende a disponibilizar-se para viver cada uma delas e, eventualmente, a compatibilizá-las de algum modo.</w:t>
      </w:r>
    </w:p>
  </w:footnote>
  <w:footnote w:id="8">
    <w:p w:rsidR="001656B1" w:rsidRDefault="001656B1" w:rsidP="001656B1">
      <w:pPr>
        <w:pStyle w:val="Textodenotaderodap"/>
      </w:pPr>
      <w:r>
        <w:rPr>
          <w:rStyle w:val="Refdenotaderodap"/>
        </w:rPr>
        <w:footnoteRef/>
      </w:r>
      <w:r>
        <w:t xml:space="preserve"> Um dos pais da Inteligência artificial notou, por um lado, a repugnância dos cientistas em analisarem estados mentais e, por outro, a necessidade de proceder a tal estudo para orientar o desenvolvimento de programação de computadores, cf. Minsk (1985:84).</w:t>
      </w:r>
    </w:p>
  </w:footnote>
  <w:footnote w:id="9">
    <w:p w:rsidR="001656B1" w:rsidRDefault="001656B1" w:rsidP="001656B1">
      <w:pPr>
        <w:pStyle w:val="Textodenotaderodap"/>
      </w:pPr>
      <w:r>
        <w:rPr>
          <w:rStyle w:val="Refdenotaderodap"/>
        </w:rPr>
        <w:footnoteRef/>
      </w:r>
      <w:r>
        <w:t xml:space="preserve"> Conferência oferecida em Lisboa, no ISCTE-IUL, sobre trabalho a publicar previsivelmente em Março de 2012.</w:t>
      </w:r>
    </w:p>
  </w:footnote>
  <w:footnote w:id="10">
    <w:p w:rsidR="001656B1" w:rsidRDefault="001656B1" w:rsidP="001656B1">
      <w:pPr>
        <w:pStyle w:val="Textodenotaderodap"/>
      </w:pPr>
      <w:r>
        <w:rPr>
          <w:rStyle w:val="Refdenotaderodap"/>
        </w:rPr>
        <w:footnoteRef/>
      </w:r>
      <w:r>
        <w:t xml:space="preserve"> </w:t>
      </w:r>
      <w:hyperlink r:id="rId5" w:history="1">
        <w:r>
          <w:rPr>
            <w:rStyle w:val="Hiperligao"/>
          </w:rPr>
          <w:t>http://iscte.pt/~apad/estesp/trilogia.htm</w:t>
        </w:r>
      </w:hyperlink>
      <w:r>
        <w:t xml:space="preserve">.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611EBF"/>
    <w:rsid w:val="0005350C"/>
    <w:rsid w:val="001656B1"/>
    <w:rsid w:val="001F0C3D"/>
    <w:rsid w:val="00384FB3"/>
    <w:rsid w:val="003E1158"/>
    <w:rsid w:val="004E37FE"/>
    <w:rsid w:val="00611EBF"/>
    <w:rsid w:val="00652DD5"/>
    <w:rsid w:val="009F0091"/>
    <w:rsid w:val="00A94AAA"/>
    <w:rsid w:val="00C4386C"/>
    <w:rsid w:val="00DB4616"/>
    <w:rsid w:val="00F15B38"/>
    <w:rsid w:val="00F20240"/>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t-PT" w:eastAsia="pt-P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1EBF"/>
    <w:pPr>
      <w:spacing w:after="200" w:line="276" w:lineRule="auto"/>
    </w:pPr>
    <w:rPr>
      <w:sz w:val="22"/>
      <w:szCs w:val="22"/>
      <w:lang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iperligao">
    <w:name w:val="Hyperlink"/>
    <w:basedOn w:val="Tipodeletrapredefinidodopargrafo"/>
    <w:uiPriority w:val="99"/>
    <w:unhideWhenUsed/>
    <w:rsid w:val="00611EBF"/>
    <w:rPr>
      <w:color w:val="0000FF"/>
      <w:u w:val="single"/>
    </w:rPr>
  </w:style>
  <w:style w:type="paragraph" w:styleId="Textodenotaderodap">
    <w:name w:val="footnote text"/>
    <w:basedOn w:val="Normal"/>
    <w:link w:val="TextodenotaderodapCarcter"/>
    <w:uiPriority w:val="99"/>
    <w:semiHidden/>
    <w:unhideWhenUsed/>
    <w:rsid w:val="00611EBF"/>
    <w:pPr>
      <w:spacing w:after="0" w:line="240" w:lineRule="auto"/>
    </w:pPr>
    <w:rPr>
      <w:sz w:val="20"/>
      <w:szCs w:val="20"/>
    </w:rPr>
  </w:style>
  <w:style w:type="character" w:customStyle="1" w:styleId="TextodenotaderodapCarcter">
    <w:name w:val="Texto de nota de rodapé Carácter"/>
    <w:basedOn w:val="Tipodeletrapredefinidodopargrafo"/>
    <w:link w:val="Textodenotaderodap"/>
    <w:uiPriority w:val="99"/>
    <w:semiHidden/>
    <w:rsid w:val="00611EBF"/>
    <w:rPr>
      <w:rFonts w:ascii="Calibri" w:eastAsia="Calibri" w:hAnsi="Calibri" w:cs="Times New Roman"/>
      <w:sz w:val="20"/>
      <w:szCs w:val="20"/>
    </w:rPr>
  </w:style>
  <w:style w:type="character" w:styleId="Refdenotaderodap">
    <w:name w:val="footnote reference"/>
    <w:basedOn w:val="Tipodeletrapredefinidodopargrafo"/>
    <w:uiPriority w:val="99"/>
    <w:semiHidden/>
    <w:unhideWhenUsed/>
    <w:rsid w:val="00611EBF"/>
    <w:rPr>
      <w:vertAlign w:val="superscript"/>
    </w:rPr>
  </w:style>
  <w:style w:type="paragraph" w:styleId="Textodebalo">
    <w:name w:val="Balloon Text"/>
    <w:basedOn w:val="Normal"/>
    <w:link w:val="TextodebaloCarcter"/>
    <w:uiPriority w:val="99"/>
    <w:semiHidden/>
    <w:unhideWhenUsed/>
    <w:rsid w:val="00611EBF"/>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611EBF"/>
    <w:rPr>
      <w:rFonts w:ascii="Tahoma" w:eastAsia="Calibri" w:hAnsi="Tahoma" w:cs="Tahoma"/>
      <w:sz w:val="16"/>
      <w:szCs w:val="16"/>
    </w:rPr>
  </w:style>
  <w:style w:type="character" w:styleId="Hiperligaovisitada">
    <w:name w:val="FollowedHyperlink"/>
    <w:basedOn w:val="Tipodeletrapredefinidodopargrafo"/>
    <w:uiPriority w:val="99"/>
    <w:semiHidden/>
    <w:unhideWhenUsed/>
    <w:rsid w:val="004E37FE"/>
    <w:rPr>
      <w:color w:val="800080"/>
      <w:u w:val="single"/>
    </w:rPr>
  </w:style>
</w:styles>
</file>

<file path=word/webSettings.xml><?xml version="1.0" encoding="utf-8"?>
<w:webSettings xmlns:r="http://schemas.openxmlformats.org/officeDocument/2006/relationships" xmlns:w="http://schemas.openxmlformats.org/wordprocessingml/2006/main">
  <w:divs>
    <w:div w:id="415052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embl.de/training/events/2010/SNS10-01/onlineseminars_day2/2011106_hfisher/index.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home.iscte-iul.pt/~apad/publico_prisoes" TargetMode="External"/><Relationship Id="rId2" Type="http://schemas.openxmlformats.org/officeDocument/2006/relationships/hyperlink" Target="http://media.iscte.pt/estados_de_espirito" TargetMode="External"/><Relationship Id="rId1" Type="http://schemas.openxmlformats.org/officeDocument/2006/relationships/hyperlink" Target="http://globalsociologylive.blogspot.com" TargetMode="External"/><Relationship Id="rId5" Type="http://schemas.openxmlformats.org/officeDocument/2006/relationships/hyperlink" Target="http://iscte.pt/~apad/estesp/trilogia.htm" TargetMode="External"/><Relationship Id="rId4" Type="http://schemas.openxmlformats.org/officeDocument/2006/relationships/hyperlink" Target="http://www.youtube.com/watch?v=EylwtiHMV7A"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5107</Words>
  <Characters>27584</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
    </vt:vector>
  </TitlesOfParts>
  <Company>ISCTE</Company>
  <LinksUpToDate>false</LinksUpToDate>
  <CharactersWithSpaces>32626</CharactersWithSpaces>
  <SharedDoc>false</SharedDoc>
  <HLinks>
    <vt:vector size="36" baseType="variant">
      <vt:variant>
        <vt:i4>5570645</vt:i4>
      </vt:variant>
      <vt:variant>
        <vt:i4>0</vt:i4>
      </vt:variant>
      <vt:variant>
        <vt:i4>0</vt:i4>
      </vt:variant>
      <vt:variant>
        <vt:i4>5</vt:i4>
      </vt:variant>
      <vt:variant>
        <vt:lpwstr>http://www.embl.de/training/events/2010/SNS10-01/onlineseminars_day2/2011106_hfisher/index.html</vt:lpwstr>
      </vt:variant>
      <vt:variant>
        <vt:lpwstr/>
      </vt:variant>
      <vt:variant>
        <vt:i4>1245187</vt:i4>
      </vt:variant>
      <vt:variant>
        <vt:i4>12</vt:i4>
      </vt:variant>
      <vt:variant>
        <vt:i4>0</vt:i4>
      </vt:variant>
      <vt:variant>
        <vt:i4>5</vt:i4>
      </vt:variant>
      <vt:variant>
        <vt:lpwstr>http://iscte.pt/~apad/estesp/trilogia.htm</vt:lpwstr>
      </vt:variant>
      <vt:variant>
        <vt:lpwstr/>
      </vt:variant>
      <vt:variant>
        <vt:i4>2490490</vt:i4>
      </vt:variant>
      <vt:variant>
        <vt:i4>9</vt:i4>
      </vt:variant>
      <vt:variant>
        <vt:i4>0</vt:i4>
      </vt:variant>
      <vt:variant>
        <vt:i4>5</vt:i4>
      </vt:variant>
      <vt:variant>
        <vt:lpwstr>http://www.youtube.com/watch?v=EylwtiHMV7A</vt:lpwstr>
      </vt:variant>
      <vt:variant>
        <vt:lpwstr/>
      </vt:variant>
      <vt:variant>
        <vt:i4>8257624</vt:i4>
      </vt:variant>
      <vt:variant>
        <vt:i4>6</vt:i4>
      </vt:variant>
      <vt:variant>
        <vt:i4>0</vt:i4>
      </vt:variant>
      <vt:variant>
        <vt:i4>5</vt:i4>
      </vt:variant>
      <vt:variant>
        <vt:lpwstr>http://home.iscte-iul.pt/~apad/publico_prisoes</vt:lpwstr>
      </vt:variant>
      <vt:variant>
        <vt:lpwstr/>
      </vt:variant>
      <vt:variant>
        <vt:i4>2555960</vt:i4>
      </vt:variant>
      <vt:variant>
        <vt:i4>3</vt:i4>
      </vt:variant>
      <vt:variant>
        <vt:i4>0</vt:i4>
      </vt:variant>
      <vt:variant>
        <vt:i4>5</vt:i4>
      </vt:variant>
      <vt:variant>
        <vt:lpwstr>http://media.iscte.pt/estados_de_espirito</vt:lpwstr>
      </vt:variant>
      <vt:variant>
        <vt:lpwstr/>
      </vt:variant>
      <vt:variant>
        <vt:i4>5767251</vt:i4>
      </vt:variant>
      <vt:variant>
        <vt:i4>0</vt:i4>
      </vt:variant>
      <vt:variant>
        <vt:i4>0</vt:i4>
      </vt:variant>
      <vt:variant>
        <vt:i4>5</vt:i4>
      </vt:variant>
      <vt:variant>
        <vt:lpwstr>http://globalsociologylive.blogspot.com/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apad</dc:creator>
  <cp:keywords/>
  <dc:description/>
  <cp:lastModifiedBy>apad</cp:lastModifiedBy>
  <cp:revision>4</cp:revision>
  <dcterms:created xsi:type="dcterms:W3CDTF">2012-07-13T10:31:00Z</dcterms:created>
  <dcterms:modified xsi:type="dcterms:W3CDTF">2012-07-13T10:35:00Z</dcterms:modified>
</cp:coreProperties>
</file>